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DC7685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DC7685">
        <w:rPr>
          <w:b/>
          <w:spacing w:val="50"/>
          <w:sz w:val="72"/>
        </w:rPr>
        <w:t>806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E263E5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062B47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E263E5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09194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09194E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FF0001" w:rsidRPr="00781C3B" w:rsidRDefault="007667B2" w:rsidP="00781C3B">
      <w:pPr>
        <w:widowControl w:val="0"/>
        <w:ind w:right="538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Об утверждении отчета «О</w:t>
      </w:r>
      <w:r w:rsidR="00781C3B" w:rsidRPr="00781C3B">
        <w:rPr>
          <w:rFonts w:ascii="Arial" w:hAnsi="Arial" w:cs="Arial"/>
          <w:sz w:val="24"/>
        </w:rPr>
        <w:t xml:space="preserve"> работе Контрольно-счетной палаты города Ростова-на-Дону за 2024 год</w:t>
      </w:r>
      <w:r>
        <w:rPr>
          <w:rFonts w:ascii="Arial" w:hAnsi="Arial" w:cs="Arial"/>
          <w:sz w:val="24"/>
        </w:rPr>
        <w:t>»</w:t>
      </w:r>
    </w:p>
    <w:p w:rsidR="00FF0001" w:rsidRPr="00781C3B" w:rsidRDefault="00FF0001" w:rsidP="00781C3B">
      <w:pPr>
        <w:shd w:val="clear" w:color="auto" w:fill="FFFFFF"/>
        <w:ind w:right="5387" w:firstLine="709"/>
        <w:jc w:val="both"/>
        <w:rPr>
          <w:rFonts w:ascii="Arial" w:hAnsi="Arial" w:cs="Arial"/>
          <w:sz w:val="24"/>
        </w:rPr>
      </w:pPr>
    </w:p>
    <w:p w:rsidR="00D970F4" w:rsidRPr="00742830" w:rsidRDefault="00781C3B" w:rsidP="0009194E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742830">
        <w:rPr>
          <w:rFonts w:ascii="Arial" w:hAnsi="Arial" w:cs="Arial"/>
          <w:szCs w:val="28"/>
        </w:rPr>
        <w:t>Руководствуясь частью 8 статьи 53.</w:t>
      </w:r>
      <w:r w:rsidRPr="00742830">
        <w:rPr>
          <w:rFonts w:ascii="Arial" w:hAnsi="Arial" w:cs="Arial"/>
          <w:szCs w:val="28"/>
          <w:vertAlign w:val="superscript"/>
        </w:rPr>
        <w:t>1</w:t>
      </w:r>
      <w:r w:rsidRPr="00742830">
        <w:rPr>
          <w:rFonts w:ascii="Arial" w:hAnsi="Arial" w:cs="Arial"/>
          <w:szCs w:val="28"/>
        </w:rPr>
        <w:t xml:space="preserve"> Устава города </w:t>
      </w:r>
      <w:r w:rsidR="000623FA" w:rsidRPr="00742830">
        <w:rPr>
          <w:rFonts w:ascii="Arial" w:hAnsi="Arial" w:cs="Arial"/>
          <w:szCs w:val="28"/>
        </w:rPr>
        <w:br/>
      </w:r>
      <w:r w:rsidRPr="00742830">
        <w:rPr>
          <w:rFonts w:ascii="Arial" w:hAnsi="Arial" w:cs="Arial"/>
          <w:szCs w:val="28"/>
        </w:rPr>
        <w:t>Ростова-на-Дону, статьями 2, 21 решения Ростовской-на-Дону городской Думы от 20.12.2011 №</w:t>
      </w:r>
      <w:r w:rsidR="000623FA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>222 «О принятии «Положения о</w:t>
      </w:r>
      <w:r w:rsidR="000623FA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>Контрольно-счетной палате города Ростова-на-Дону» в новой редакции», заслушав отчет о работе Контрольно-счетной палаты города Ростова-на-Дону за 2024 год, городская Дума</w:t>
      </w:r>
    </w:p>
    <w:p w:rsidR="00F45681" w:rsidRPr="00742830" w:rsidRDefault="00F45681" w:rsidP="0009194E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742830" w:rsidRDefault="00727DC1" w:rsidP="00BC6ADC">
      <w:pPr>
        <w:ind w:firstLine="709"/>
        <w:jc w:val="both"/>
        <w:rPr>
          <w:rFonts w:ascii="Arial" w:eastAsia="Calibri" w:hAnsi="Arial" w:cs="Arial"/>
          <w:szCs w:val="28"/>
        </w:rPr>
      </w:pPr>
    </w:p>
    <w:p w:rsidR="000623FA" w:rsidRPr="00742830" w:rsidRDefault="000623FA" w:rsidP="00BC6ADC">
      <w:pPr>
        <w:ind w:firstLine="709"/>
        <w:jc w:val="both"/>
        <w:rPr>
          <w:rFonts w:ascii="Arial" w:hAnsi="Arial" w:cs="Arial"/>
          <w:szCs w:val="28"/>
        </w:rPr>
      </w:pPr>
      <w:r w:rsidRPr="00742830">
        <w:rPr>
          <w:rFonts w:ascii="Arial" w:hAnsi="Arial" w:cs="Arial"/>
          <w:szCs w:val="28"/>
        </w:rPr>
        <w:t>1.</w:t>
      </w:r>
      <w:r w:rsidR="002F1081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 xml:space="preserve">Утвердить отчет </w:t>
      </w:r>
      <w:r w:rsidR="006A4026" w:rsidRPr="00742830">
        <w:rPr>
          <w:rFonts w:ascii="Arial" w:hAnsi="Arial" w:cs="Arial"/>
          <w:szCs w:val="28"/>
        </w:rPr>
        <w:t>«О работе Контрольно-счетной палаты города Ростова-на-Дону за 2024 год»</w:t>
      </w:r>
      <w:r w:rsidRPr="00742830">
        <w:rPr>
          <w:rFonts w:ascii="Arial" w:hAnsi="Arial" w:cs="Arial"/>
          <w:szCs w:val="28"/>
        </w:rPr>
        <w:t xml:space="preserve"> (приложение).</w:t>
      </w:r>
    </w:p>
    <w:p w:rsidR="000623FA" w:rsidRPr="00742830" w:rsidRDefault="000623FA" w:rsidP="00BC6ADC">
      <w:pPr>
        <w:ind w:firstLine="709"/>
        <w:jc w:val="both"/>
        <w:rPr>
          <w:rFonts w:ascii="Arial" w:hAnsi="Arial" w:cs="Arial"/>
          <w:szCs w:val="28"/>
        </w:rPr>
      </w:pPr>
      <w:r w:rsidRPr="00742830">
        <w:rPr>
          <w:rFonts w:ascii="Arial" w:hAnsi="Arial" w:cs="Arial"/>
          <w:szCs w:val="28"/>
        </w:rPr>
        <w:t>2.</w:t>
      </w:r>
      <w:r w:rsidR="002F1081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A62345" w:rsidRPr="00742830" w:rsidRDefault="000623FA" w:rsidP="00BC6ADC">
      <w:pPr>
        <w:ind w:firstLine="709"/>
        <w:jc w:val="both"/>
        <w:rPr>
          <w:rFonts w:ascii="Arial" w:hAnsi="Arial" w:cs="Arial"/>
          <w:szCs w:val="28"/>
        </w:rPr>
      </w:pPr>
      <w:r w:rsidRPr="00742830">
        <w:rPr>
          <w:rFonts w:ascii="Arial" w:hAnsi="Arial" w:cs="Arial"/>
          <w:szCs w:val="28"/>
        </w:rPr>
        <w:t>3.</w:t>
      </w:r>
      <w:r w:rsidR="002F1081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 xml:space="preserve">Контроль за исполнением настоящего решения возложить </w:t>
      </w:r>
      <w:r w:rsidRPr="00742830">
        <w:rPr>
          <w:rFonts w:ascii="Arial" w:hAnsi="Arial" w:cs="Arial"/>
          <w:szCs w:val="28"/>
        </w:rPr>
        <w:br/>
        <w:t>на постоянную комиссию по местному самоуправлению, информационной политике и связям с общественностью (А.В.</w:t>
      </w:r>
      <w:r w:rsidR="002F1081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>Лященко).</w:t>
      </w:r>
    </w:p>
    <w:p w:rsidR="00FD1E3A" w:rsidRPr="00742830" w:rsidRDefault="00FD1E3A" w:rsidP="00BC6ADC">
      <w:pPr>
        <w:ind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7D777D" w:rsidRPr="00C909FA" w:rsidRDefault="007D777D" w:rsidP="00BC6ADC">
      <w:pPr>
        <w:ind w:right="-2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110F52" w:rsidRDefault="00110F52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-344805</wp:posOffset>
                  </wp:positionV>
                  <wp:extent cx="1933575" cy="1438275"/>
                  <wp:effectExtent l="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0F52" w:rsidRDefault="00110F52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 w:rsidR="0009194E">
              <w:rPr>
                <w:rFonts w:ascii="Arial" w:hAnsi="Arial" w:cs="Arial"/>
                <w:b/>
                <w:szCs w:val="28"/>
              </w:rPr>
              <w:t> </w:t>
            </w:r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Default="009E2AD1" w:rsidP="007C659E">
      <w:pPr>
        <w:jc w:val="both"/>
        <w:rPr>
          <w:rFonts w:ascii="AGSouvenirCyr" w:hAnsi="AGSouvenirCyr"/>
          <w:b/>
          <w:sz w:val="24"/>
        </w:rPr>
      </w:pPr>
      <w:r w:rsidRPr="0041043F">
        <w:rPr>
          <w:rFonts w:ascii="AGSouvenirCyr" w:hAnsi="AGSouvenirCyr"/>
          <w:b/>
          <w:sz w:val="24"/>
        </w:rPr>
        <w:t>1</w:t>
      </w:r>
      <w:r w:rsidR="00062B47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263E5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p w:rsidR="00685B94" w:rsidRDefault="00685B94">
      <w:pPr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br w:type="page"/>
      </w:r>
      <w:bookmarkStart w:id="1" w:name="_GoBack"/>
      <w:bookmarkEnd w:id="1"/>
    </w:p>
    <w:p w:rsidR="00685B94" w:rsidRDefault="00685B94" w:rsidP="00685B9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Приложение </w:t>
      </w:r>
    </w:p>
    <w:p w:rsidR="00685B94" w:rsidRDefault="00685B94" w:rsidP="00685B94">
      <w:pPr>
        <w:ind w:left="552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решению Ростовской-на-Дону городской Думы «Об утверждении отчёта «О работе Контрольно-счетной палаты города Ростова-на-Дону за 2023 год»</w:t>
      </w:r>
    </w:p>
    <w:p w:rsidR="00685B94" w:rsidRPr="000D3F3A" w:rsidRDefault="00685B94" w:rsidP="007C659E">
      <w:pPr>
        <w:jc w:val="both"/>
        <w:rPr>
          <w:b/>
          <w:szCs w:val="28"/>
        </w:rPr>
      </w:pPr>
    </w:p>
    <w:p w:rsidR="00685B94" w:rsidRPr="000D3F3A" w:rsidRDefault="00685B94" w:rsidP="007C659E">
      <w:pPr>
        <w:jc w:val="both"/>
        <w:rPr>
          <w:b/>
          <w:szCs w:val="28"/>
        </w:rPr>
      </w:pPr>
    </w:p>
    <w:p w:rsidR="00685B94" w:rsidRPr="000D3F3A" w:rsidRDefault="00685B94" w:rsidP="00685B94">
      <w:pPr>
        <w:jc w:val="both"/>
        <w:rPr>
          <w:rFonts w:ascii="Arial" w:hAnsi="Arial" w:cs="Arial"/>
          <w:b/>
          <w:szCs w:val="28"/>
        </w:rPr>
      </w:pPr>
    </w:p>
    <w:p w:rsidR="00685B94" w:rsidRPr="000D3F3A" w:rsidRDefault="00685B94" w:rsidP="00685B94">
      <w:pPr>
        <w:pStyle w:val="ConsPlusTitle"/>
        <w:jc w:val="center"/>
        <w:rPr>
          <w:rFonts w:ascii="Arial" w:hAnsi="Arial" w:cs="Arial"/>
          <w:sz w:val="28"/>
          <w:szCs w:val="28"/>
        </w:rPr>
      </w:pPr>
      <w:bookmarkStart w:id="2" w:name="P30"/>
      <w:bookmarkEnd w:id="2"/>
      <w:r w:rsidRPr="000D3F3A">
        <w:rPr>
          <w:rFonts w:ascii="Arial" w:hAnsi="Arial" w:cs="Arial"/>
          <w:sz w:val="28"/>
          <w:szCs w:val="28"/>
        </w:rPr>
        <w:t>ОТЧЕТ</w:t>
      </w:r>
    </w:p>
    <w:p w:rsidR="00685B94" w:rsidRPr="000D3F3A" w:rsidRDefault="00685B94" w:rsidP="00685B94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0D3F3A">
        <w:rPr>
          <w:rFonts w:ascii="Arial" w:hAnsi="Arial" w:cs="Arial"/>
          <w:sz w:val="28"/>
          <w:szCs w:val="28"/>
        </w:rPr>
        <w:t xml:space="preserve">О РАБОТЕ КОНТРОЛЬНО-СЧЕТНОЙ ПАЛАТЫ </w:t>
      </w:r>
    </w:p>
    <w:p w:rsidR="00685B94" w:rsidRPr="000D3F3A" w:rsidRDefault="00685B94" w:rsidP="00685B94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0D3F3A">
        <w:rPr>
          <w:rFonts w:ascii="Arial" w:hAnsi="Arial" w:cs="Arial"/>
          <w:sz w:val="28"/>
          <w:szCs w:val="28"/>
        </w:rPr>
        <w:t>ГОРОДА РОСТОВА-НА-ДОНУЗА 2024 ГОД</w:t>
      </w:r>
    </w:p>
    <w:p w:rsidR="00685B94" w:rsidRPr="000D3F3A" w:rsidRDefault="00685B94" w:rsidP="00685B94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:rsidR="00685B94" w:rsidRPr="00F61960" w:rsidRDefault="00685B94" w:rsidP="00685B94">
      <w:pPr>
        <w:pStyle w:val="ConsPlusTitle"/>
        <w:jc w:val="center"/>
        <w:outlineLvl w:val="1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1. Общие итоги работы Контрольно-счетной палаты</w:t>
      </w:r>
    </w:p>
    <w:p w:rsidR="00685B94" w:rsidRPr="00F61960" w:rsidRDefault="00685B94" w:rsidP="00685B94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города Ростова-на-Дону в 2024 году</w:t>
      </w:r>
    </w:p>
    <w:p w:rsidR="00685B94" w:rsidRPr="00F61960" w:rsidRDefault="00685B94" w:rsidP="00685B94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 xml:space="preserve">В отчетном году Контрольно-счетная палата города Ростова-на-Дону (далее </w:t>
      </w:r>
      <w:r w:rsidR="00531273" w:rsidRPr="00F61960">
        <w:rPr>
          <w:rFonts w:ascii="Arial" w:hAnsi="Arial" w:cs="Arial"/>
          <w:sz w:val="27"/>
          <w:szCs w:val="27"/>
        </w:rPr>
        <w:t>–</w:t>
      </w:r>
      <w:r w:rsidRPr="00F61960">
        <w:rPr>
          <w:rFonts w:ascii="Arial" w:hAnsi="Arial" w:cs="Arial"/>
          <w:sz w:val="27"/>
          <w:szCs w:val="27"/>
        </w:rPr>
        <w:t xml:space="preserve"> Палата) осуществляла свою работу в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соответствии с</w:t>
      </w:r>
      <w:r w:rsidR="007162E8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 xml:space="preserve">Федеральным </w:t>
      </w:r>
      <w:hyperlink r:id="rId10">
        <w:r w:rsidRPr="00F61960">
          <w:rPr>
            <w:rFonts w:ascii="Arial" w:hAnsi="Arial" w:cs="Arial"/>
            <w:sz w:val="27"/>
            <w:szCs w:val="27"/>
          </w:rPr>
          <w:t>законом</w:t>
        </w:r>
      </w:hyperlink>
      <w:r w:rsidRPr="00F61960">
        <w:rPr>
          <w:rFonts w:ascii="Arial" w:hAnsi="Arial" w:cs="Arial"/>
          <w:sz w:val="27"/>
          <w:szCs w:val="27"/>
        </w:rPr>
        <w:t xml:space="preserve"> от</w:t>
      </w:r>
      <w:r w:rsidR="00531273" w:rsidRPr="00F61960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07.02.2011 № 6-ФЗ «Об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общих принципах организации и деятельности контрольно-счетных органов субъектов Российской Федерации, федеральных территорий и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 xml:space="preserve">муниципальных образований» и </w:t>
      </w:r>
      <w:hyperlink r:id="rId11">
        <w:r w:rsidRPr="00F61960">
          <w:rPr>
            <w:rFonts w:ascii="Arial" w:hAnsi="Arial" w:cs="Arial"/>
            <w:sz w:val="27"/>
            <w:szCs w:val="27"/>
          </w:rPr>
          <w:t>решением</w:t>
        </w:r>
      </w:hyperlink>
      <w:r w:rsidRPr="00F61960">
        <w:rPr>
          <w:rFonts w:ascii="Arial" w:hAnsi="Arial" w:cs="Arial"/>
          <w:sz w:val="27"/>
          <w:szCs w:val="27"/>
        </w:rPr>
        <w:t xml:space="preserve"> Ростовской-на-Дону городской Думы от 20.12.2011 № 222 «О принятии «Положения о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Контрольно-счетной палате города Ростова-на-Дону» в новой редакции».</w:t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План работы отчетного года, сформированный и утвержденный в</w:t>
      </w:r>
      <w:r w:rsidR="00531273" w:rsidRPr="00F61960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 xml:space="preserve">соответствии со </w:t>
      </w:r>
      <w:hyperlink r:id="rId12">
        <w:r w:rsidRPr="00F61960">
          <w:rPr>
            <w:rFonts w:ascii="Arial" w:hAnsi="Arial" w:cs="Arial"/>
            <w:sz w:val="27"/>
            <w:szCs w:val="27"/>
          </w:rPr>
          <w:t>статьей 11</w:t>
        </w:r>
      </w:hyperlink>
      <w:r w:rsidRPr="00F61960">
        <w:rPr>
          <w:rFonts w:ascii="Arial" w:hAnsi="Arial" w:cs="Arial"/>
          <w:sz w:val="27"/>
          <w:szCs w:val="27"/>
        </w:rPr>
        <w:t xml:space="preserve"> решения Ростовской-на-Дону городской Думы от 20.12.2011 № 222, выполнен в полном объеме и в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установленные сроки.</w:t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В целях реализации установленных законодательством полномочий в отчетном периоде Палатой проведено 17 тематических контрольных мероприятий (в том числе одно совместное с Контрольно-счетной палатой Ростовской области) и 122 экспертно-аналитических мероприятия.</w:t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 xml:space="preserve">В соответствии со </w:t>
      </w:r>
      <w:hyperlink r:id="rId13">
        <w:r w:rsidRPr="00F61960">
          <w:rPr>
            <w:rFonts w:ascii="Arial" w:hAnsi="Arial" w:cs="Arial"/>
            <w:sz w:val="27"/>
            <w:szCs w:val="27"/>
          </w:rPr>
          <w:t>статьей 60</w:t>
        </w:r>
      </w:hyperlink>
      <w:r w:rsidRPr="00F61960">
        <w:rPr>
          <w:rFonts w:ascii="Arial" w:hAnsi="Arial" w:cs="Arial"/>
          <w:sz w:val="27"/>
          <w:szCs w:val="27"/>
        </w:rPr>
        <w:t xml:space="preserve"> Положения «О бюджетном процессе в</w:t>
      </w:r>
      <w:r w:rsidR="007162E8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>городе Ростове-на-Дону», принятого решением Ростовской-на-Дону городской Думы от</w:t>
      </w:r>
      <w:r w:rsidR="00501D7B" w:rsidRPr="00F61960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22.11.2007 № 321, Палатой проведены предусмотренные планом 18 внешних проверок годовой бюджетной отчетности главных администраторов бюджетных средств города Ростова-на-Дону.</w:t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В отчетном периоде контрольные мероприятия проводились по</w:t>
      </w:r>
      <w:r w:rsidR="00501D7B" w:rsidRPr="00F61960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>бюджетным активам и обязательствам в 9 главных администраторах бюджетных средств города и подведомственных им учреждениях.</w:t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Контрольными мероприятиями было охвачено 37 объектов. Общий объем проверенных средств составил 4 880,5 млн рублей. По</w:t>
      </w:r>
      <w:r w:rsidR="00501D7B" w:rsidRPr="00F61960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>результатам проверок составлено 37 актов.</w:t>
      </w:r>
    </w:p>
    <w:p w:rsidR="00574C91" w:rsidRPr="00F61960" w:rsidRDefault="00574C91">
      <w:pPr>
        <w:rPr>
          <w:rFonts w:ascii="Arial" w:eastAsia="Calibri" w:hAnsi="Arial" w:cs="Arial"/>
          <w:sz w:val="27"/>
          <w:szCs w:val="27"/>
          <w:lang w:eastAsia="en-US"/>
        </w:rPr>
      </w:pPr>
      <w:r w:rsidRPr="00F61960">
        <w:rPr>
          <w:rFonts w:ascii="Arial" w:hAnsi="Arial" w:cs="Arial"/>
          <w:sz w:val="27"/>
          <w:szCs w:val="27"/>
        </w:rPr>
        <w:br w:type="page"/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lastRenderedPageBreak/>
        <w:t>Основные количественные показатели контрольной работы:</w:t>
      </w:r>
    </w:p>
    <w:p w:rsidR="00574C91" w:rsidRPr="00574C91" w:rsidRDefault="00574C91" w:rsidP="00685B94">
      <w:pPr>
        <w:pStyle w:val="ConsPlusNormal"/>
        <w:ind w:firstLine="709"/>
        <w:jc w:val="both"/>
        <w:rPr>
          <w:rFonts w:ascii="Arial" w:hAnsi="Arial" w:cs="Arial"/>
          <w:sz w:val="20"/>
          <w:szCs w:val="20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1276"/>
        <w:gridCol w:w="1276"/>
        <w:gridCol w:w="1275"/>
        <w:gridCol w:w="1701"/>
      </w:tblGrid>
      <w:tr w:rsidR="00685B94" w:rsidRPr="00685B94" w:rsidTr="000D3F3A">
        <w:trPr>
          <w:trHeight w:val="389"/>
          <w:tblHeader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Вид контрольного мероприятия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Проведено проверок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Проверено объектов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Составлено актов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Направлено представлений</w:t>
            </w:r>
          </w:p>
        </w:tc>
      </w:tr>
      <w:tr w:rsidR="00685B94" w:rsidRPr="00685B94" w:rsidTr="000D3F3A">
        <w:trPr>
          <w:trHeight w:val="199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35</w:t>
            </w:r>
          </w:p>
        </w:tc>
      </w:tr>
      <w:tr w:rsidR="00685B94" w:rsidRPr="00685B94" w:rsidTr="000D3F3A">
        <w:trPr>
          <w:trHeight w:val="380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Проверка законности и эффективности использования средств бюджета города муниципальными учреждениями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685B94" w:rsidRPr="00685B94" w:rsidTr="000D3F3A">
        <w:trPr>
          <w:trHeight w:val="385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Проверка целевого и эффективного использования средств бюджета города муниципальными учреждениями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685B94" w:rsidRPr="00685B94" w:rsidTr="000D3F3A">
        <w:trPr>
          <w:trHeight w:val="381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Проверка правомерности и эффективности использования средств бюджета города муниципальными учреждениями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85B94" w:rsidRPr="00685B94" w:rsidTr="000D3F3A">
        <w:trPr>
          <w:trHeight w:val="386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Проверка эффективности использования муниципальной собственности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85B94" w:rsidRPr="00685B94" w:rsidTr="000D3F3A">
        <w:trPr>
          <w:trHeight w:val="9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Совместные с Контрольно-счетной палатой Ростовской области мероприятия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74C91" w:rsidRPr="000D3F3A" w:rsidRDefault="00574C91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Результаты проведенных Палатой мероприятий показали, что при исполнении бюджета требования действующего бюджетного законодательства в основном соблюдались.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Порядок разработки, принятия бюджета, внесения в него изменений и другие требования бюджетного законодательства по</w:t>
      </w:r>
      <w:r w:rsidR="001708D6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организации и</w:t>
      </w:r>
      <w:r w:rsidR="001708D6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исполнению бюджета города Ростова-на-Дону соблюдены. Формирование и исполнение бюджета, осуществление бюджетных расходов, учет операций с бюджетными средствами, в</w:t>
      </w:r>
      <w:r w:rsidR="001708D6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целом соответствуют законодательству.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Нецелевого использования средств бюджета по результатам проведенных мероприятий в отчетном периоде не установлено.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Вместе с тем, в ходе проверок установлены различные факты несоблюдения отдельных требований действующего бюджетного законодательства. За отчетный период контрольными мероприятиями выявлено 3</w:t>
      </w:r>
      <w:r w:rsidR="001708D6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487 фактов нарушений и недостатков, основными из которых являлись: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нарушения в сфере управления и распоряжения муниципальной собственностью – 2</w:t>
      </w:r>
      <w:r w:rsidR="000D3F3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205 фактов;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нарушения при ведении бухгалтерского учета, составлении и представлении бухгалтерской (финансовой) отчетности – 396 фактов;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нарушения при осуществлении муниципальных закупок и закупок отдельными видами юридических лиц – 313 фактов.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При этом не все установленные факты нарушений и недостатков имеют негативные финансовые последствия для муниципального образования.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Более детальная информация отражена в разделе 2 настоящего отчета.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 результатам проведенных мероприятий в соответствии с</w:t>
      </w:r>
      <w:r w:rsidR="00501D7B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решениями коллегии Палаты руководителям проверенных объектов было направлено 35 представлений и 3 предписания.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Практически все требования по устранению выявленных бюджетных и иных нарушений и недостатков, направленные в рамках представлений, </w:t>
      </w:r>
      <w:r w:rsidRPr="000D3F3A">
        <w:rPr>
          <w:rFonts w:ascii="Arial" w:hAnsi="Arial" w:cs="Arial"/>
          <w:sz w:val="27"/>
          <w:szCs w:val="27"/>
        </w:rPr>
        <w:lastRenderedPageBreak/>
        <w:t>исполнены до конца отчетного года. Все частично исполненные</w:t>
      </w:r>
      <w:r w:rsidR="00501D7B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представления остаются на контроле Палаты до принятия мер по</w:t>
      </w:r>
      <w:r w:rsidR="001708D6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устранению выявленных нарушений в полном объеме. Аналогичный механизм применялся Палатой и в предыдущие годы.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соответствии с представлениями Палаты руководителями проверенных объектов принимались меры по прекращению и устранению выявленных нарушений, возврату бюджетных средств.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году обеспечено устранение выявленных нарушений, в</w:t>
      </w:r>
      <w:r w:rsidR="001708D6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том числе непосредственно в ходе контрольных мероприятий: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восстановлено и возмещено в бюджет города средств на сумму 1 847,6 тыс. рублей;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выполнено работ, устранено недостатков на сумму 4 090,0 тыс. рублей;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поданы судебные иски к подрядным организациям на сумму 733,1 тыс. рублей;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- предотвращено негативных финансовых последствий на сумму </w:t>
      </w:r>
      <w:r w:rsidR="00940A85" w:rsidRPr="000D3F3A">
        <w:rPr>
          <w:rFonts w:ascii="Arial" w:hAnsi="Arial" w:cs="Arial"/>
          <w:sz w:val="27"/>
          <w:szCs w:val="27"/>
        </w:rPr>
        <w:t>128 274</w:t>
      </w:r>
      <w:r w:rsidRPr="000D3F3A">
        <w:rPr>
          <w:rFonts w:ascii="Arial" w:hAnsi="Arial" w:cs="Arial"/>
          <w:sz w:val="27"/>
          <w:szCs w:val="27"/>
        </w:rPr>
        <w:t>,</w:t>
      </w:r>
      <w:r w:rsidR="00940A85" w:rsidRPr="000D3F3A">
        <w:rPr>
          <w:rFonts w:ascii="Arial" w:hAnsi="Arial" w:cs="Arial"/>
          <w:sz w:val="27"/>
          <w:szCs w:val="27"/>
        </w:rPr>
        <w:t>5</w:t>
      </w:r>
      <w:r w:rsidRPr="000D3F3A">
        <w:rPr>
          <w:rFonts w:ascii="Arial" w:hAnsi="Arial" w:cs="Arial"/>
          <w:sz w:val="27"/>
          <w:szCs w:val="27"/>
        </w:rPr>
        <w:t xml:space="preserve"> тыс.</w:t>
      </w:r>
      <w:r w:rsidR="00940A85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рублей.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 результатам проверок в целях совершенствования нормативных правовых актов, приведения их в соответствие с</w:t>
      </w:r>
      <w:r w:rsidR="00696B99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действующим законодательством, а также недопущения в</w:t>
      </w:r>
      <w:r w:rsidR="00696B99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дальнейшем нарушений и</w:t>
      </w:r>
      <w:r w:rsidR="00696B99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недостатков в работе внесены изменения в</w:t>
      </w:r>
      <w:r w:rsidR="00696B99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16 правовых актов, изданы три.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Меры дисциплинарного характера применены к 14 сотрудникам проверенных организаций.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рамках реализации положений законодательства об</w:t>
      </w:r>
      <w:r w:rsidR="00766C81" w:rsidRPr="000D3F3A">
        <w:rPr>
          <w:rFonts w:ascii="Arial" w:hAnsi="Arial" w:cs="Arial"/>
          <w:sz w:val="27"/>
          <w:szCs w:val="27"/>
        </w:rPr>
        <w:t> </w:t>
      </w:r>
      <w:r w:rsidR="00696B99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административных правонарушениях в части полномочий по</w:t>
      </w:r>
      <w:r w:rsidR="00766C81" w:rsidRPr="000D3F3A">
        <w:rPr>
          <w:rFonts w:ascii="Arial" w:hAnsi="Arial" w:cs="Arial"/>
          <w:sz w:val="27"/>
          <w:szCs w:val="27"/>
        </w:rPr>
        <w:t> </w:t>
      </w:r>
      <w:r w:rsidR="00696B99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составлению протоколов об административных правонарушениях аудиторами Палаты в отчетном периоде было составлено 12 протоколов, по результатам рассмотрения которых к административной ответственности привлечено 11 должностных лиц (на одно лицо составлено два протокола).</w:t>
      </w:r>
    </w:p>
    <w:p w:rsidR="00574C91" w:rsidRPr="000D3F3A" w:rsidRDefault="00574C91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685B94" w:rsidRDefault="00C65F80" w:rsidP="00685B94">
      <w:pPr>
        <w:pStyle w:val="ConsPlusNormal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6010275" cy="1818122"/>
            <wp:effectExtent l="19050" t="0" r="9525" b="0"/>
            <wp:docPr id="1" name="Рисунок 1" descr="C:\Users\1311\Downloads\диаграмма КСП 2024 год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11\Downloads\диаграмма КСП 2024 год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453" cy="1824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Общая сумма поступлений от штрафов, назначенных по</w:t>
      </w:r>
      <w:r w:rsidR="00766C81" w:rsidRPr="000D3F3A">
        <w:rPr>
          <w:rFonts w:ascii="Arial" w:hAnsi="Arial" w:cs="Arial"/>
          <w:sz w:val="27"/>
          <w:szCs w:val="27"/>
        </w:rPr>
        <w:t> </w:t>
      </w:r>
      <w:r w:rsidR="0096757D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результатам рассмотрения протоколов об административном правонарушении, составила 36,0 тыс. рублей. По 5 протоколам вынесены решения о назначении предупреждения в качестве административного наказания.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lastRenderedPageBreak/>
        <w:t>В рамках сотрудничества с правоохранительными органами, в</w:t>
      </w:r>
      <w:r w:rsidR="00531273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соответствии с соглашением о взаимодействии в прокуратуру города Ростова-на-Дону Палатой по всем проведенным проверкам направлены отчеты по результатам контрольных мероприятий.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Палатой на постоянной основе направлялась информация в</w:t>
      </w:r>
      <w:r w:rsidR="00E3245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адрес Председателя городской Думы </w:t>
      </w:r>
      <w:r w:rsidR="007161D9" w:rsidRPr="000D3F3A">
        <w:rPr>
          <w:rFonts w:ascii="Arial" w:hAnsi="Arial" w:cs="Arial"/>
          <w:sz w:val="27"/>
          <w:szCs w:val="27"/>
        </w:rPr>
        <w:t>–</w:t>
      </w:r>
      <w:r w:rsidRPr="000D3F3A">
        <w:rPr>
          <w:rFonts w:ascii="Arial" w:hAnsi="Arial" w:cs="Arial"/>
          <w:sz w:val="27"/>
          <w:szCs w:val="27"/>
        </w:rPr>
        <w:t xml:space="preserve"> главы города Ростова-на-Дону и главы Администрации города Ростова-на-Дону о результатах всех контрольных и экспертно-аналитических мероприятий, а также Председателю городской Думы </w:t>
      </w:r>
      <w:r w:rsidR="007161D9" w:rsidRPr="000D3F3A">
        <w:rPr>
          <w:rFonts w:ascii="Arial" w:hAnsi="Arial" w:cs="Arial"/>
          <w:sz w:val="27"/>
          <w:szCs w:val="27"/>
        </w:rPr>
        <w:t>–</w:t>
      </w:r>
      <w:r w:rsidRPr="000D3F3A">
        <w:rPr>
          <w:rFonts w:ascii="Arial" w:hAnsi="Arial" w:cs="Arial"/>
          <w:sz w:val="27"/>
          <w:szCs w:val="27"/>
        </w:rPr>
        <w:t xml:space="preserve"> главе города Ростова-на-Дону</w:t>
      </w:r>
      <w:r w:rsidR="00766C8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 xml:space="preserve">в соответствии с </w:t>
      </w:r>
      <w:hyperlink r:id="rId15">
        <w:r w:rsidRPr="000D3F3A">
          <w:rPr>
            <w:rFonts w:ascii="Arial" w:hAnsi="Arial" w:cs="Arial"/>
            <w:sz w:val="27"/>
            <w:szCs w:val="27"/>
          </w:rPr>
          <w:t>п.9 ст.8</w:t>
        </w:r>
      </w:hyperlink>
      <w:r w:rsidRPr="000D3F3A">
        <w:rPr>
          <w:rFonts w:ascii="Arial" w:hAnsi="Arial" w:cs="Arial"/>
          <w:sz w:val="27"/>
          <w:szCs w:val="27"/>
        </w:rPr>
        <w:t xml:space="preserve"> решения Ростовской-на-Дону городской Думы №</w:t>
      </w:r>
      <w:r w:rsidR="00574C9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222 ежеквартально представлялась сводная информация о</w:t>
      </w:r>
      <w:r w:rsidR="00E3245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результатах деятельности Палаты.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2024 году проведена экспертиза проекта решения </w:t>
      </w:r>
      <w:r w:rsidR="00574C91" w:rsidRPr="000D3F3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>Ростовской-на-Дону городской Думы «Об утверждении бюджета города Ростова-на-Дону на 2025 год и на плановый период 2026 и 2027 годов» с</w:t>
      </w:r>
      <w:r w:rsidR="00766C8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предоставлением заключения в городскую Думу.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формате экспертно-аналитических мероприятий Палатой проводился оперативный анализ и контроль за организацией исполнения бюджета города, по итогам которого в городскую Думу направлялись аналитические записки.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Палатой проведено 6 экспертиз проектов решений городской Думы «О внесении изменений в решение о бюджете города на 2024 год и на плановый период 2025 и 2026 годов», заключения по которым направлены в городскую Думу.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Палатой также проведено 110 экспертиз проектов внесения изменений в муниципальные программы, в том числе по 2-м проводилась повторная экспертиза. Соответствующие заключения направлены в адрес ГАБС для принятия управленческих решений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.</w:t>
      </w:r>
    </w:p>
    <w:p w:rsidR="00685B94" w:rsidRPr="000D3F3A" w:rsidRDefault="00685B94" w:rsidP="0096757D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27"/>
          <w:szCs w:val="27"/>
        </w:rPr>
      </w:pPr>
    </w:p>
    <w:p w:rsidR="00CB581D" w:rsidRPr="000D3F3A" w:rsidRDefault="00685B94" w:rsidP="0096757D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 Обобщенная информация</w:t>
      </w:r>
      <w:r w:rsidR="00CB581D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об итогах проведенных</w:t>
      </w:r>
    </w:p>
    <w:p w:rsidR="00685B94" w:rsidRPr="000D3F3A" w:rsidRDefault="00685B94" w:rsidP="0096757D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контрольных и экспертно-аналитических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мероприятий</w:t>
      </w:r>
    </w:p>
    <w:p w:rsidR="00685B94" w:rsidRPr="000D3F3A" w:rsidRDefault="00685B94" w:rsidP="0096757D">
      <w:pPr>
        <w:pStyle w:val="ConsPlusNormal"/>
        <w:jc w:val="center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685B94" w:rsidP="0096757D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2.1. Результаты контрольных мероприятий</w:t>
      </w:r>
    </w:p>
    <w:p w:rsidR="00685B94" w:rsidRPr="000D3F3A" w:rsidRDefault="00685B94" w:rsidP="0096757D">
      <w:pPr>
        <w:pStyle w:val="ConsPlusTitle"/>
        <w:jc w:val="center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и принятые по ним меры</w:t>
      </w:r>
    </w:p>
    <w:p w:rsidR="00685B94" w:rsidRPr="000D3F3A" w:rsidRDefault="00685B94" w:rsidP="0096757D">
      <w:pPr>
        <w:widowControl w:val="0"/>
        <w:autoSpaceDE w:val="0"/>
        <w:autoSpaceDN w:val="0"/>
        <w:jc w:val="center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685B94" w:rsidP="0096757D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2.1.1. Проверка законности и эффективности использования средств бюджета города муниципальными учреждениями.</w:t>
      </w:r>
    </w:p>
    <w:p w:rsidR="00685B94" w:rsidRPr="000D3F3A" w:rsidRDefault="00685B94" w:rsidP="0096757D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отчетном периоде проведено 6 контрольных мероприятий по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проверке законности и эффективного использования средств бюджета города, направленных: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озеленение и содержание зеленых насаждений;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проектирование, строительство и реконструкцию объектов муниципальной собственности (бюджетные инвестиции), связанных с</w:t>
      </w:r>
      <w:r w:rsidR="00E32452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развитием, эксплуатацией улично-дорожной сети и повышением безопасности дорожного движения;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ремонт внутриквартальных и дворовых территорий, проездов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к</w:t>
      </w:r>
      <w:r w:rsidR="00875C0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дворовым территориям;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перевод грунтовых дорог в дороги с твердым покрытием;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капитальный ремонт и оснащение образовательных учреждений.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</w:t>
      </w:r>
      <w:r w:rsidR="007161D9" w:rsidRPr="000D3F3A">
        <w:rPr>
          <w:rFonts w:ascii="Arial" w:hAnsi="Arial" w:cs="Arial"/>
          <w:color w:val="000000" w:themeColor="text1"/>
          <w:sz w:val="27"/>
          <w:szCs w:val="27"/>
        </w:rPr>
        <w:t xml:space="preserve"> бюджетных средств – 3 045,2 млн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Общее количество выявленных нарушений и недостатков составило 557 фактов, из которых 83 не имеют финансовых последствий.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итогам мероприятий можно выделить следующие характерные нарушения требований, регламентирующих осуществление объектами контроля соответствующих бюджетных процедур, расходов, а также требований к организации и ведению бюджетного (бухгалтерского) учета.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1. Выявлено 32 факта необоснованного расходования средств бюджета на общую сумму 6,7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в следстви</w:t>
      </w:r>
      <w:r w:rsidR="00F97C58" w:rsidRPr="000D3F3A">
        <w:rPr>
          <w:rFonts w:ascii="Arial" w:hAnsi="Arial" w:cs="Arial"/>
          <w:color w:val="000000" w:themeColor="text1"/>
          <w:sz w:val="27"/>
          <w:szCs w:val="27"/>
        </w:rPr>
        <w:t>и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приемки и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оплаты по актам фактически не выполненных объемов работ, работ, выполненных с отступлением от проектной документации, а также работ, качество которых не соответствует условиям заключенных контрактов.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Так, например, при реализации мероприятий по ремонту внутриквартальных и дворовых территорий, проездов к дворовым территориям допущено 19 фактов приемки фактически не выполненных объемов работ по ремонту покрытия, установке искусственных неровностей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 общую сумму 1,8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рублей. 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результатам лабораторных испытаний проб (кернов), отобранных из отремонтированного асфальтобетонного покрытия проездов к</w:t>
      </w:r>
      <w:r w:rsidR="00875C02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дворовым территориям, установлено, что на 5 объектах выполнена приемка и оплата асфальтобетонного покрытия, не соответствующего предъявляемым требованиям по показателю водонасыщения. Как результат, верхний слой отремонтированного покрытия проездов на</w:t>
      </w:r>
      <w:r w:rsidR="00875C02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общей площади 4,8 тыс. кв.м. не соответствует требованиям ГОСТ 9128-2013 «Смеси асфальтобетонные для автомобильных дорог». Причина несоответствия показателя водонасыщения </w:t>
      </w:r>
      <w:r w:rsidR="00875C02">
        <w:rPr>
          <w:rFonts w:ascii="Arial" w:hAnsi="Arial" w:cs="Arial"/>
          <w:color w:val="000000" w:themeColor="text1"/>
          <w:sz w:val="27"/>
          <w:szCs w:val="27"/>
        </w:rPr>
        <w:t>–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недостаточное уплотнение асфальтобетонной смеси при устройстве покрытия.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Последствием неисполнения ГОСТа является преждевременное разрушение покрытия при циклах замораживания-размораживания в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осенне-зимний период.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Кроме того, на одном объекте толщина слоя покрытия составила 3,4 см вместо 7 см определенных условиями контракта.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Таким образом, расходы бюджета в сумме 3,8 млн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направленные на оплату покрытия, не соответствующего требованиям ГОСТа и условиям контракта, являются необоснованными.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 По итогам мероприятий выявлены неэффективные расходы в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сумме 0,3 млн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(2 факта), а также факты, которые расцениваются как неэффективное управление муниципальными финансами на сумму 183,6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(3 факта).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Так, проверки, проведенные в МКУ «Управление капитального строительства города Ростова-на-Дону», показали наличие авансовых платежей в сумме 99,7 млн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рублей, неотработанных подрядными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организациями в течение более 4-х месяцев, а также наличие в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распоряжении подрядной организации, с которой расторгнут контракт, денежных средств в сумме 83,9 млн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полученных</w:t>
      </w:r>
      <w:r w:rsidR="00F97C58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 качестве аванса. На настоящий момент в судебных инстанциях рассматриваются требования о взыскании денежных средств.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При проверке расходов бюджета на озеленение и содержание зеленых насаждений выявлены расходы в сумме 64,0 млн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имеющие признаки неэффективных (безрезультативных).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Так, в соответствии с Регламентом производства работ на</w:t>
      </w:r>
      <w:r w:rsidR="007F792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объектах озеленения, уход за газонами заключается в проведении комплекса работ: полив, подкормка, прополка и другие работы. Перечень уходных работ за газонами определяется для конкретного объекта исходя из его фактического состояния, объемов требуемого ремонта (наличие повреждений после зимы, вытаптывание и другие дефекты).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Проверка показала, что в нарушение условий исполнения контрактов не проведено обследование состояния объектов озеленения на территории Первомайского и Пролетарского районов города до начала работ по их содержанию. Фактически в работы по</w:t>
      </w:r>
      <w:r w:rsidR="007F792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содержанию газонов входил только их полив.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При этом отсутствует документальное подтверждение того, что выполнение полного комплекса работ по содержанию газонов, предусмотренных Регламентом, не требуется</w:t>
      </w:r>
      <w:r w:rsidR="007F792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по причине их удовлетворительного состояния.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3. Допущены избыточные расходы бюджета в сумме 0,2 млн</w:t>
      </w:r>
      <w:r w:rsidR="00CE2886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 (1 факт) по причине задвоения стоимости материальных ресурсов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при формировании начальной цены контракта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на выполнение работ по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капитальному ремонту здания МАОУ «Школа №70».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 xml:space="preserve">Так, в дополнение к уже предусмотренному в составе расценки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ФЕР</w:t>
      </w:r>
      <w:r w:rsidR="00CE2886" w:rsidRPr="000D3F3A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07-05-016-04 «Устройство металлических ограждений без поручней» и ФЕР «Устройство металлических ограждений с поручнями из твердолиственных пород»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материалу «Ограждения лестничных проемов, лестничные марши, пожарные лестницы» дополнительно включен материал «ограждения из нержавеющей стали», стоимость которого взята по коммерческим предложениям,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при этом стоимость указанного выше ресурса (07.2.05.01-0032) из расценок не исключена.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целях устранения выявленных нарушений подрядной организацией в МАОУ «Школа №70» выполнены дополнительные строительные работы на сумму 0,2 млн</w:t>
      </w:r>
      <w:r w:rsidR="00CE288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4. Из выявленных нарушений законодательства о закупках признаки системных имеют следующие: не ведется претензионная работа за нарушение обязательств, предусмотренных контрактом (19</w:t>
      </w:r>
      <w:r w:rsidR="00CE288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фактов); в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нарушение условий контракта при отсутствии обеспечения гарантийных обязательств и других документов осуществляется оформление и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приемка документации по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выполненным работам (16 фактов).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5. Значительная доля в объеме выявленных нарушений приходится на нарушения требований к организации и ведению бухгалтерского учета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– 168 фактов на сумму 624,7 млн. рублей.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Так, например, по итогам мероприятий выявлены факты необоснованного списания произведенных вложений (расходов), объем которых, участвует в формировании стоимости многолетних зеленых насаждений,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с высадки которых прошло менее 3-х лет 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>–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работы по поливу и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подкормке многолетних насаждений. Как результат занижение балансовой стоимости многолетников на сумму 83,8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нарушение федерального стандарта бухгалтерского учета для организаций государственного сектора, УЖКХ районов города не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приняты к учету в качестве основных средств многолетние насаждения первоначальной стоимостью 61,3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создание которых завершено.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УЖКХ районов при расходовании средств бюджета на ремонт проездов к дворовым территориям денежные обязательства на общую сумму 42,2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в учете отражены от 2 до 12 дней до подписания в</w:t>
      </w:r>
      <w:r w:rsidR="00C235BB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ЕИС документов о приемке выполненных работ (13 фактов). Управлением капитального строительства при капитальном ремонте здания детского сада по пр. Королёва, 18/1 денежное обязательство на сумму 29,0 млн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отражено в учете за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3 дня до подписания акта о приемке выполненных работ.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Кроме того, при исполнении мероприятий по переводу грунтовых дорог в дороги с твердым покрытием, ДИСОТИ не отражены в учете принятые денежные обязательства на сумму 2,9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что повлекло искажение значения показателя годовой отчетности учреждения.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Выявлено более 30 фактов нарушения объектами проверок порядка забалансового учета независимых гарантий на общую сумму 127,6 млн</w:t>
      </w:r>
      <w:r w:rsidR="00343B6E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выданных в обеспечение исполнения обязательств (в том числе гарантийных) по заключенным контрактам.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6. Одним из системных нарушений является отсутствие планирования бюджетных ассигнований на выполнение комплекса уходных работ за многолетними насаждениями, высаженными в Дни древонасаждений.</w:t>
      </w:r>
      <w:r w:rsidR="00343B6E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УЖКХ районов города данная работа не осуществляется.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Кроме того, отсутствуют схемы высадки таких зеленых насаждений, что делает невозможным обследование высаженных насаждений на предмет их приживаемости</w:t>
      </w:r>
      <w:r w:rsidR="00343B6E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 сохранности, а также выполнение уходных работ.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Фактически не обеспечено исполнение п.11 разд.</w:t>
      </w:r>
      <w:r w:rsidR="00343B6E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4 положений Правил охраны зеленых насаждений в городе Ростове-на-Дону, в части выполнения комплекса уходных работ за высаженными в Дни древонасаждений деревьями и кустарниками до их полной приживаемости (не менее 3-х лет).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2.1.2.</w:t>
      </w:r>
      <w:r w:rsidR="00F97C58"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Проверка целевого и эффективного использования средств бюджета города муниципальными учреждениями.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отчетном периоде проведено 5 контрольных мероприятий по</w:t>
      </w:r>
      <w:r w:rsidR="00781E8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проверке целевого и эффективного использования средств бюджета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города, направленных: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переселение граждан из аварийного жилищного фонда в</w:t>
      </w:r>
      <w:r w:rsidR="00781E8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рамках реализации национального проекта «Жилье и городская среда»;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выполнение работ по «Ремонту ул. Текучева (пер.</w:t>
      </w:r>
      <w:r w:rsidR="00781E8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Приволжский - путепровод в створе ул. Текучева); ул. Текучева (пр.</w:t>
      </w:r>
      <w:r w:rsidR="00781E8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Буденновский - пер.</w:t>
      </w:r>
      <w:r w:rsidR="00C235BB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Приволжский)» в рамках национального проекта «Безопасные качественные дороги»;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предоставление субсидий МБОУ «Лицей №103 им. Сергея Козлова», МБУ Советского района г. Ростова-на-Дону «Центр психолого-педагогической, медицинской и социальной помощи» 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и МБУ </w:t>
      </w:r>
      <w:r w:rsidR="00C235BB">
        <w:rPr>
          <w:rFonts w:ascii="Arial" w:hAnsi="Arial" w:cs="Arial"/>
          <w:color w:val="000000" w:themeColor="text1"/>
          <w:sz w:val="27"/>
          <w:szCs w:val="27"/>
        </w:rPr>
        <w:br/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г.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Ростова-на-Дону «Центр психолого-педагогической, медицинской и</w:t>
      </w:r>
      <w:r w:rsidR="00C235BB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социальной помощи», МАУК «Дирекция парков города Ростова-на-Дону» и МАУ «ПКиО «Левобережный» в 2023 году и</w:t>
      </w:r>
      <w:r w:rsidR="00C235BB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текущем периоде 2024 года.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 бюджетных средств – 747,9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781E8C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Общее количество выявленных нарушений и недостатков составило 122 факта, из них 25 не имею</w:t>
      </w:r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т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финансовых последствий.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Анализ итогов проверок позволил выделить наиболее характерные нарушения требований, регламентирующих осуществление объектами контроля соответствующих бюджетных процедур и расходов: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1. Установлено 27 фактов нарушений и недостатков при формировании и исполнении муниципальных заданий бюджетными и</w:t>
      </w:r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автономными учреждениями, получающими субсидии.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Отдельными ГРБС и подведомственными муниципальными учреждениями допущены следующие нарушения действующего законодательства: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не соблюдался регламент предоставления муниципальных услуг;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рамках оказания утвержденной муниципальной услуги фактически осуществлялась другая деятельность;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производился необоснованный расчет показателей объема работ, некорректно отражался в муниципальных заданиях показатель объема муниципальных услуг;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муниципальные задания включались муниципальные услуги и работы, не относящиеся к основным видам деятельности учреждений в</w:t>
      </w:r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соответствии с их учредительными документами;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не соблюдался порядок расчета объема финансового обеспечения выполнения муниципального задания учреждений, в части применения нормативных затрат.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Например, в муниципальных Центрах психолого-педагогической, медицинской и социальной помощи не соблюдался регламент предоставления муниципальной услуги «Психолого-медико-педагогическое обследование детей», утвержденный приказом Управления образования от 30.12.2022 №</w:t>
      </w:r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УОПР-729-л в части требований к составу комиссии. В состав комиссий не включались медицинские работники, что ведет к рискам признания заключений комиссии формальными и соответственно признания расходования бюджетных средств на оказание услуги в сумме 12,9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неэффективными в полном объеме.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В целях исполнения требований представления Контрольно-счетной палаты были проведены необходимые мероприятия по</w:t>
      </w:r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устранению нарушения, издан совместный приказ Управления образования города Ростова-на-Дону и Министерства здравоохранения Ростовской области по вопросу комплектования городских психолого-медико-педагогических комиссий врачами медицинских организаций. Управлением образования города запланированы соответствующие бюджетные ассигнования на организацию работы врачей.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МАУК «Дирекция парков города Ростова-на-Дону» выявлены случаи использования земельных участков сторонними организациями (индивидуальными предпринимателями) без правовых оснований для деятельности тематических развлекательных аттракционов (парков). В</w:t>
      </w:r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связи с тем, что площадь земельного участка, занимаемая тематическими парками, входит в показатель, характеризующий объем работы «Создание условий для массового отдыха жителей города» и ее содержание осуществляется за счет средств субсидии на финансовое обеспечение выполнения муниципального задания на оказание муниципальных услуг (выполнение работ), имеет место риск признания необоснованным расход субсидии в сумме 10,2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Кроме того, в МАУК «Дирекция парков города Ростова-на-Дону»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br/>
        <w:t>и МАУ «ПКиО «Левобережный» в объем работы «Создание условий для массового отдыха жителей города» необоснованно включена площадь земельных участков парков, занятая объектами недвижимого имущества. Следовательно, показатели выполнения муниципального задания в части выполнения работы по созданию и содержанию пешеходных и зеленых зон, мест массового отдыха на указанной площади являлись некорректными и невыполнимыми, что привело к</w:t>
      </w:r>
      <w:r w:rsidR="007B6B2B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избыточным расходам субсидии в сумме 2,7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 рамках исполнения представлений Палаты Управлением культуры муниципальные задания на 2025 год утверждены с учетом корректировки площадей земельных участков.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 Выявлены отдельные факты нарушений и недостатков законодательства, регулирующего оплату труда работников бюджетных и</w:t>
      </w:r>
      <w:r w:rsidR="007B6B2B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автономных учреждений в общей сумме 95,3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в том числе: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произведены избыточные расходы бюджета в результате завышения планового фонда оплаты труда в сумме 1,0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необоснованно произведены выплаты стимулирующего характера (надбавка за качество работы, премия) в общей сумме 91,4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в</w:t>
      </w:r>
      <w:r w:rsidR="007B6B2B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том числе расходы по недооформленным документам, что также создает риски признания указанных расходов необоснованными при установлении фактов недостижения сотрудниками соответствующих показателей и критериев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>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произведены необоснованные доплаты компенсационного характера (доплаты за выполнение дополнительной работы) на общую сумму 0,8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допущено нарушение требований Трудового кодекса РФ при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начислении и выплате заработной платы за работу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по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совместительству в сумме 0,3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р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результатам контрольных мероприятий нарушения прекращены. Учреждениями внесены соответствующие изменения в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локальные акты и</w:t>
      </w:r>
      <w:r w:rsidR="007B6B2B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трудовые договоры, что позволило предотвратить негативные последствия в виде фин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ансовых нарушений на сумму 20,3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3. МАУК «Дирекция парков города Ростова-на-Дону» допущены нарушения при принятии к учету в составе особо ценного имущества 25 объектов движимого имущества стоимостью 15,1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рублей. Кроме того, в нарушение ст.296 ГК РФ и п.2 ст.3 Закона от 03.11.2006 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№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174-ФЗ «Об автономных учреждениях» без предварительного согласия собственника допущено распоряжение особо ценным имуществом стоимостью 25,2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4. Допущено нарушение порядка применения бюджетной классификации Российской Федерации, а именно: выплаты возмещения убытков, понесенных в результате отчуждения недвижимого имущества, в</w:t>
      </w:r>
      <w:r w:rsidR="00F73E75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общей сумме 10,4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произведенные собственникам жилых помещений, расположенных в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расселяемых аварийных домах, отражены по виду расходов 412 «Бюджетные инвестиции на приобретение объектов недвижимого имущества в государственную (муниципальную) собственность», в то время как в соответствии с Порядком применения бюджетной классификации РФ, утвержденным Приказом Минфина России от 24.05.2022 №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82н, названные убытки подлежат отражению по виду расходов 853 «Уплата иных платежей».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Во исполнение представления Контрольно-счетной палаты ДКСиПР обеспечено соблюдение установленного порядка применения бюджетной классификации – в бюджете города Ростова-на-Дону на 2025 год и на плановый период 2026 и 2027 годов расходы на выплаты возмещения убытков при переселении из аварийного жилья предусмотрены по виду расходов 850.</w:t>
      </w:r>
    </w:p>
    <w:p w:rsidR="00685B94" w:rsidRPr="000D3F3A" w:rsidRDefault="00685B94" w:rsidP="00574C91">
      <w:pPr>
        <w:adjustRightInd w:val="0"/>
        <w:ind w:firstLine="709"/>
        <w:jc w:val="both"/>
        <w:rPr>
          <w:rFonts w:ascii="Arial" w:hAnsi="Arial" w:cs="Arial"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5.</w:t>
      </w:r>
      <w:r w:rsidRPr="000D3F3A">
        <w:rPr>
          <w:rFonts w:ascii="Arial" w:eastAsia="Calibri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Выявлено</w:t>
      </w:r>
      <w:r w:rsidRPr="000D3F3A">
        <w:rPr>
          <w:rFonts w:ascii="Arial" w:eastAsia="Calibri" w:hAnsi="Arial" w:cs="Arial"/>
          <w:color w:val="000000" w:themeColor="text1"/>
          <w:sz w:val="27"/>
          <w:szCs w:val="27"/>
        </w:rPr>
        <w:t xml:space="preserve"> н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арушение Порядка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взаимодействия органов Администрации города при ликвидации аварийного жилищного фонда, утвержденного постановлением Администрации города от</w:t>
      </w:r>
      <w:r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12.02.2024 №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122 – не осуществлены обследования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выкупленных жилых помещений, не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переданных гражданами в установленные сроки,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</w:t>
      </w:r>
      <w:r w:rsidR="000D111C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предмет отсутствия проживающих в них лиц. В результате искажена информация об активах, а именно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затраты в объеме 35,3 млн</w:t>
      </w:r>
      <w:r w:rsidR="00291FA9"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рублей,</w:t>
      </w:r>
      <w:r w:rsidR="00026E07"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связанные с</w:t>
      </w:r>
      <w:r w:rsidR="00F73E75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выкупом 9-ти жилых помещений в</w:t>
      </w:r>
      <w:r w:rsidR="000D111C"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аварийных домах, не</w:t>
      </w:r>
      <w:r w:rsidR="00F73E75">
        <w:rPr>
          <w:rFonts w:ascii="Arial" w:hAnsi="Arial" w:cs="Arial"/>
          <w:b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отражены на</w:t>
      </w:r>
      <w:r w:rsidR="00F73E75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счетах учета вложений в нефинансовые активы. В</w:t>
      </w:r>
      <w:r w:rsidR="000D111C" w:rsidRPr="000D3F3A">
        <w:rPr>
          <w:rFonts w:ascii="Arial" w:hAnsi="Arial" w:cs="Arial"/>
          <w:bCs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рамках исполнения представления Палаты нарушение прекращено.</w:t>
      </w:r>
    </w:p>
    <w:p w:rsidR="00685B94" w:rsidRPr="000D3F3A" w:rsidRDefault="00685B94" w:rsidP="00574C9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i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Кроме того,</w:t>
      </w:r>
      <w:r w:rsidR="000D111C" w:rsidRPr="000D3F3A">
        <w:rPr>
          <w:rFonts w:ascii="Arial" w:hAnsi="Arial" w:cs="Arial"/>
          <w:i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в нарушение норм Постановлением Администрации города Ростова-на-Дону от</w:t>
      </w:r>
      <w:r w:rsidR="00F73E75">
        <w:rPr>
          <w:rFonts w:ascii="Arial" w:hAnsi="Arial" w:cs="Arial"/>
          <w:i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30.03.2018 №</w:t>
      </w:r>
      <w:r w:rsidR="00574C91" w:rsidRPr="000D3F3A">
        <w:rPr>
          <w:rFonts w:ascii="Arial" w:hAnsi="Arial" w:cs="Arial"/>
          <w:i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344</w:t>
      </w:r>
      <w:r w:rsidR="00574C91" w:rsidRPr="000D3F3A">
        <w:rPr>
          <w:rFonts w:ascii="Arial" w:hAnsi="Arial" w:cs="Arial"/>
          <w:i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при приобретении в</w:t>
      </w:r>
      <w:r w:rsidR="000D111C" w:rsidRPr="000D3F3A">
        <w:rPr>
          <w:rFonts w:ascii="Arial" w:hAnsi="Arial" w:cs="Arial"/>
          <w:iCs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 xml:space="preserve">муниципальную собственность жилых помещений допускалась регистрация права муниципальной собственности до подписания актов приема-передачи приобретенных жилых помещений.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Во </w:t>
      </w:r>
      <w:bookmarkStart w:id="3" w:name="_Hlk192517435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исполнение представления Контрольно-счетной палаты </w:t>
      </w:r>
      <w:bookmarkEnd w:id="3"/>
      <w:r w:rsidRPr="000D3F3A">
        <w:rPr>
          <w:rFonts w:ascii="Arial" w:hAnsi="Arial" w:cs="Arial"/>
          <w:color w:val="000000" w:themeColor="text1"/>
          <w:sz w:val="27"/>
          <w:szCs w:val="27"/>
        </w:rPr>
        <w:t>Администрацией города Ростова-на-Дону принято постановление от 15.01.2025 №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11, утверждающее новый порядок взаимодействия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отраслевых (функциональных), территориальных органов и учреждений Администрации города Ростова-на-Дону при приобретении в</w:t>
      </w:r>
      <w:r w:rsidR="00F73E75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муниципальную собственность жилых помещений».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2.1.3. Проверка правомерности и эффективности использования средств бюджета города муниципальными учреждениями.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отчетном периоде проведено 3 контрольных мероприятия по</w:t>
      </w:r>
      <w:r w:rsidR="00F73E75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проверке правомерности и эффективности использования средств бюджета города, направленных: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организацию и обеспечение отдыха детей;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предо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ставление субсидий МБУ ДО СШ г.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Ростова-на-Дону «Гребной канал «Дон», МБУ «Центр по сохранению, использованию и популяризации памятников истории и культуры города </w:t>
      </w:r>
      <w:r w:rsidR="00F73E75">
        <w:rPr>
          <w:rFonts w:ascii="Arial" w:hAnsi="Arial" w:cs="Arial"/>
          <w:color w:val="000000" w:themeColor="text1"/>
          <w:sz w:val="27"/>
          <w:szCs w:val="27"/>
        </w:rPr>
        <w:t xml:space="preserve">Ростова-на-Дону» (далее –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МБУ «ЦОП»).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 бюджетных средств – 708,0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0D111C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Общее количество выявленных нарушений и недостатков составило 353 факта, из них 239, не имеющих финансовых последствий.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результатам контрольных мероприятий определены наиболее характерные и капиталоемкие нарушения, среди которых: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1. Управлением культуры города допущены избыточные расходы субсидии на финансовое обеспечение исполнения МБУ «ЦОП» муниципального задания повыполнению муниципальной работы «Обеспечение сохранения и использования объектов культурного наследия» в сумме 44,9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млн. рублей, по причине отсутствия правовых оснований для включения в муниципальное задание объектов,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br/>
        <w:t>не являющихся объектами культурного наследия.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рамках исполнения представления Контрольно-счетной палаты и</w:t>
      </w:r>
      <w:r w:rsidR="000D111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урегулирования вопроса содержания памятников, не являющихся объектами культурного наследия издано постановление Министерства культуры Ростовской области от 18.09.2024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7 о включении в</w:t>
      </w:r>
      <w:r w:rsidR="00963795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Региональный перечень работ и услуг работы «Сохранение, использование и популяризация объектов культурного наследия и объектов исторического и культурного значения, не относящихся к</w:t>
      </w:r>
      <w:r w:rsidR="000D111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объектам культурного наследия». Также постановлением Администрации города от 27.06.2024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742 разработан и утвержден Порядок выполнения МБУ «ЦОП» названной работы.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нарушение требований Федерального закона от</w:t>
      </w:r>
      <w:r w:rsidR="00963795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26.05.1996 </w:t>
      </w:r>
      <w:r w:rsidR="00963795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54-ФЗ «О Музейном фонде Российской Федерации и о музеях в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Российской Федерации» в МБУ «ЦОП» не проведена работа по учету и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экспертизе культурных ценностей в целях отнесения их к музейным предметам и музейным коллекциям, что несет риски признания неправомерным включение муниципальной услуги «Публичный показ музейных предметов, музейных коллекций» в муниципальные задания. Имеют место потенциальные негативные последствия от выявленного нарушения</w:t>
      </w:r>
      <w:bookmarkStart w:id="4" w:name="_Hlk193191978"/>
      <w:r w:rsidRPr="000D3F3A">
        <w:rPr>
          <w:rFonts w:ascii="Arial" w:hAnsi="Arial" w:cs="Arial"/>
          <w:color w:val="000000" w:themeColor="text1"/>
          <w:sz w:val="27"/>
          <w:szCs w:val="27"/>
        </w:rPr>
        <w:t>–</w:t>
      </w:r>
      <w:bookmarkEnd w:id="4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риск признания расхода средств бюджета в сумме 9,1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необоснованным.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В результате неверного планирования МБУ «ЦОП» расходов на поставку электроэнергии п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 xml:space="preserve">о адресу: ул. Портовая, д. 478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необоснованно сформировался остаток средств субсидии на конец 2023 года в сумме 0,7</w:t>
      </w:r>
      <w:r w:rsidR="00963795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который поступил в полное распоряжение Учреждения.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При исполнении требований представления Контрольно-счетной палаты МБУ «ЦОП» осуществлен возврат остатка средств в доход бюджета, образовавшегося в результате неправомерного планирования расходов на поставку электроэнергии.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 Выявлены многочисленные нарушения при управлении, распоряжении муниципальным имуществом и его учете в МБУ ДО СШ г.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Ростова-на-Дону «Гребной канал «Дон» – 104 факта (114,0 млн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лей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), в том числе: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договоры оказания платных физкультурно-спортивных услуг с</w:t>
      </w:r>
      <w:r w:rsidR="00963795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использованием различного имущества Учреждения фактически имеют природу сделки по передаче в аренду особо ценного движимого и недвижимого имущества без предварительного согласия собственника (п.3 ст.298 Гражданского кодекса РФ);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территории МБУ ДО «Гребной канал «Дон» выявлен объект «Финишная вышка модульного типа» ГБУ ДО РО «Спортивная школа олимпийского резерва №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5» для проведения соревнований регионального, всероссийского и международного уровня. К проверке не представлены правовые документы, разрешающие размещение основного средства, правообладателем которого является иной хозяйствующий субъект;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земельном участке и акватории МБУ проводятся учебно-тренировочные занятия по гребному спорту и гребле на байдарках и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каноэ обучающихся областных учреждений без оформления соответствующих договоров;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состав особо ценного имущества не приняты к учету 40 объектов основных средств общей стоимостью 108,3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настоящее время проводится работа по устранению выявленных нарушений.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3. По результатам проверки использования бюджетных средств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br/>
        <w:t>на организацию и обеспечение отдыха детей в Управлении образования города выявлены риски признания отдельных расходов несоответствующими требованиям законодательства: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нарушение Приказа Минобрнауки России от 13.07.2017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656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br/>
        <w:t>«Об утверждении примерных положений об организациях отдыха детей и</w:t>
      </w:r>
      <w:r w:rsidR="00C64A73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их оздоровления», а также приказов Управления от 13.01.2023 </w:t>
      </w:r>
      <w:r w:rsidR="003C0CE9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УОПР-11 и от 22.01.2024 №УОПР/45 «Об организации отдыха обучающихся в каникулярное время» ни одна образовательная организация в городе, подведомственная Управлению образования, не создала отдельного структурного подразделения для организации лагерей с дневным пребыванием и профильных смен;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нарушение пунктов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4.2 и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4.6.1 Постановления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Администрации города Ростова-на-Дону от 19.03.2012 №</w:t>
      </w:r>
      <w:r w:rsidR="008A525D" w:rsidRPr="000D3F3A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170 «Об организации отдыха и</w:t>
      </w:r>
      <w:r w:rsidR="006F730A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оздоровления детей» (далее – Постановление №</w:t>
      </w:r>
      <w:r w:rsidR="008A525D" w:rsidRPr="000D3F3A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170)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при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осуществлении организации отдыха и оздоровления детей в лагерях с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дневным пребыванием на базе образовательных организаций и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профильных сменах, в образовательных организациях не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укомплектованы соответствующие штаты;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Фактически работа в лагере с дневным пребыванием, а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отдельных случаях и профильных сменах, осуществлялась сотрудниками школ во время предназначенное для реализации образовательных программ и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соответственно оплачиваемое за счет средств субсидий, предоставленных на выполнение муниципального задания. Так образовательными учреждениями Ворошиловского, Железнодорожного, Кировского и Пролетарского районов за 2023, 2024 годы на оплату труда таких сотрудников, направлено 40,7 млн рублей.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нарушение приказов Управления образования города МАОУ Школа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22 не разработаны приказы об организации профильных смен и соответственно их программы. Вместе с тем в 2023 году учреждением с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нарушение условий предоставленной субсидии израсходовано 1,1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млн рублей 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</w:rPr>
        <w:t>–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приобретены путевки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оздоровительные лагеря,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на базе которых профильные смены организованы не были.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нарушение требований Постановления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170, а также условий соглашения о предоставлении субсидий на иные цели МАОУ Школа №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53 израсходованы средства бюджета в сумме 0,3 млн рублей на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организацию профильных смен не в каникулярное время;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профильные смены, организованные МБУ ДО СШ №</w:t>
      </w:r>
      <w:r w:rsidR="001A3A72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5 полностью за счет средств родителей, не попадают под действие Постановления №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170, соответственно финансирование расходов на проезд детей в эти лагеря не может осуществляться за счет средств бюджета города. Следовательно, МБУ ДО СШ №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5 в 2023 году допущено расходование средств бюджета в сумме 0,2 млн рублей с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нарушением условий их предоставления;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з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начительную часть учреждений (7 из 11), которым Управление выделяет субсидию на организацию профильных смен в каникулярное время, составляют спортивные школы. При этом, в соответствии с</w:t>
      </w:r>
      <w:r w:rsidR="001A3A72" w:rsidRPr="000D3F3A">
        <w:rPr>
          <w:rFonts w:ascii="Arial" w:hAnsi="Arial" w:cs="Arial"/>
          <w:bCs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федеральными стандартами спортивной подготовки по видам спорта дополнительные образовательные программы спортивной подготовки реализуются круглогодично, т.е. без каникулярного времени, что формально делает невозможным реализацию названными учреждениями такого вида оздоровления и отдыха детей.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Управлением образования города и подведомственными учреждениями не определен механизм отбора детей в профильные смены, что создает риски для обращения представителей детей, не</w:t>
      </w:r>
      <w:r w:rsidR="001A3A72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зачисленных в профильную смену, за защитой своих прав и</w:t>
      </w:r>
      <w:r w:rsidR="001A3A72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интересов, а также делает непрозрачным планирование количества детей, предлагаемых к оздоровлению, необходимого для выделения средств бюджета на очередной финансовый год;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настоящее время проводится работа по устранению выявленных нарушений.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265221" w:rsidP="00574C91">
      <w:pPr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lastRenderedPageBreak/>
        <w:t>2.1.4. </w:t>
      </w:r>
      <w:r w:rsidR="00685B94"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Проверка эффективности использования муниципальной собственности.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отчетном периоде проведено 2 контрольных мероприятия, направленных: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проверку эффективности владения, пользования и</w:t>
      </w:r>
      <w:r w:rsidR="001A3A72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распоряжения объектами жилого фонда муниципальной собственности, закрепленными на праве оперативного управления за муниципальными казенными учреждениями города Ростова-на-Дону;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проверку осуществления органами Администрации города установленных задач и функций в сфере размещения нестационарных торговых объектов, проверку полноты и своевременности поступления в</w:t>
      </w:r>
      <w:r w:rsidR="00464C8F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бюджет города доходов от размещения объектов НТО; 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 бюджетных средств – 263,2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 рублей. Также проверена реализация прав владения, пользования и</w:t>
      </w:r>
      <w:r w:rsidR="00C245F0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распоряжения имуществом общей балансовой стоимостью 1 576,6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 рублей.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Общее количество выявленных нарушений и недостатков составило 2 455 фактов, из них 2 158, не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имеющих финансовых последствий.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Анализ итогов проверок позволил выделить следующие значимые нарушения по данному направлению контрольных мероприятий: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1. Выявлены нарушения в сфере управления и распоряжения муниципальной собственностью, повлекшие потери доходов бюджета города в объеме 19,4 млн рублей, в том числе: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МКУ УЖКХ Ворошиловского, Железнодорожного, Советского районов города не осуществлен контроль за полнотой и</w:t>
      </w:r>
      <w:r w:rsidR="00C245F0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="00464C8F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своевременностью поступления доходов от использования жилых помещений. Так невзимание платы за использование 2 214 жилых помещений привело к потерям доходов бюджета 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на общую сумму 16,4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млн рублей. 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 рамках реализации представления Контрольно-счетной палаты города в целях упорядочения расчетов МКУ УЖКХ заключены централизованные контракты на оказание услуг по организации начисления, сбора, взыскания и перечисления в бюджет города </w:t>
      </w:r>
      <w:r w:rsidR="00464C8F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Ростова-на-Дону граждан за наем жилья</w:t>
      </w:r>
      <w:r w:rsidR="00F621B3" w:rsidRPr="000D3F3A">
        <w:rPr>
          <w:rFonts w:ascii="Arial" w:hAnsi="Arial" w:cs="Arial"/>
          <w:color w:val="000000" w:themeColor="text1"/>
          <w:sz w:val="27"/>
          <w:szCs w:val="27"/>
        </w:rPr>
        <w:t>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Управлением торговли допущены нарушения утвержденной методики расчета стартового размера финансового предложения за</w:t>
      </w:r>
      <w:r w:rsidR="00464C8F" w:rsidRPr="00464C8F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право заключения договора о размещении НТО, приведшее к его занижению, и, как следствие, к потерям доходов бюджета в общей сумме 0,4 млн рублей;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Управлением торговли ненадлежащим образом исполнялись бюджетные полномочия администратора доходов бюджета, а именно: не</w:t>
      </w:r>
      <w:r w:rsidR="00464C8F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начислена плата за размещение НТО в общей сумме 2,0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r w:rsidR="0081544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рублей; не приняты действенные меры по взысканию задолженности по</w:t>
      </w:r>
      <w:r w:rsidR="00464C8F" w:rsidRPr="00464C8F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платежам в бюджет, что привело к росту дебиторской задолженности более чем в</w:t>
      </w:r>
      <w:r w:rsidR="00464C8F" w:rsidRPr="00464C8F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10 раз;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в нарушение утвержденного порядка демонтажа самовольно размещенных НТО конструктивные элементы объектов, демонтированных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за счет бюджетных средств, переданы гражданам без предъявления требований о возмещении ущерба, в результате потери доходов бюджета города составили 0,5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 рублей;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не соблюдены установленные сроки осуществления процедур, связанных с демонтажем самовольно размещенных НТО, что привело к</w:t>
      </w:r>
      <w:r w:rsidR="00815442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использованию в течение продолжительного периода времени земельных участков без правовых оснований.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 Выявлены избыточные и необоснованные расходы бюджета, в</w:t>
      </w:r>
      <w:r w:rsidR="00B612D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том числе: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МКУ УЖКХ не заключены договоры социального найма жилых помещений, что привело к обременению бюджета города дополнительными расходами, связанными с исполнением решений судебных органов о погашении задолженности за коммунальные услуги граждан, использующих муниципальные жилые помещения без заключения соответствующих договоров социального найма в общей сумме 0,8 млн рублей;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результате отражения в учете приватизированных жилых помещений МКУ «УЖКХ» Ворошиловского и Советского районов осуществлены избыточные расходы на уплату взносов на капитальный ремонт квартир, не являющихся муниципальной собственностью, в</w:t>
      </w:r>
      <w:r w:rsidR="00B612D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сумме 0,2</w:t>
      </w:r>
      <w:r w:rsidR="00B612D6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млн рублей, кроме того, созданы риски избыточных расходов бюджетных средств на уплату налога на имущество организаций за 2023 год в сумме не менее 0,3 млн рублей. Во исполнение представления Контрольно-счетной палаты мнимые объекты исключены из учета, что позволило предотвратить избыточные расходы бюджетных средств;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3. Выявлены нарушения требований к ведению бухгалтерского учета, в том числе повлиявшиена достоверность бюджетной (бухгалтерской) отчетности на сумму более 300 млн рублей. Так допущено: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включение в бюджетную отчетность Управления торговли показателей, не подтвержденных соответствующими регистрами бухгалтерского учета;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отсутствие персонифицированного учета поступлений в разрезе плательщиков доходов по договорам о размещении НТО;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отражение мнимых объектов в регистрах бухгалтерского учета МКУ УЖКХ, а именно: квартир, не являющихся муниципальной собственностью;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объединение жилых помещений в один инвентарный объект;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несоответствие данных бухгалтерского и реестрового учета объектов жилого фонда.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4. В нарушение т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ребований Федерального закона №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218-ФЗ не</w:t>
      </w:r>
      <w:r w:rsidR="00B612D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осуществлена государственная регистрация права оперативного управления на 1 402 объекта жилого фонда, числящегося на балансе МКУ УЖКХ Ворошиловского, Железнодорожного, Советского районов города.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265221" w:rsidP="00574C91">
      <w:pPr>
        <w:pStyle w:val="ConsPlusNormal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2.1.5. </w:t>
      </w:r>
      <w:r w:rsidR="00685B94"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Совместное мероприятие с Контрольно-счетной палатой Ростовской области.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 xml:space="preserve">В отчетном периоде проведено одно совместное </w:t>
      </w:r>
      <w:r w:rsidRPr="000D3F3A">
        <w:rPr>
          <w:rFonts w:ascii="Arial" w:eastAsia="Times New Roman" w:hAnsi="Arial" w:cs="Arial"/>
          <w:color w:val="000000" w:themeColor="text1"/>
          <w:sz w:val="27"/>
          <w:szCs w:val="27"/>
        </w:rPr>
        <w:t>с Контрольно-счетной палатой Ростовской области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контрольное мероприятие: «Аудит эффективности предоставления и использования муниципальными образованиями Ростовской области бюджетных кредитов, предоставленных из областного бюджета, а также эффективности деятельности уполномоченных органов муниципальных образований по реализации основных направлений долговой политики» в муниципальном образовании город Ростов-на-Дону.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 бюджетных средств – 467,0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млн рублей. 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 ходе контрольного мероприятия установлено, что уровень долговой устойчивости муниципального образования «Город </w:t>
      </w:r>
      <w:r w:rsidR="00E22CFB" w:rsidRPr="00E22CFB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Ростов-на-Дону» высокий.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Размер муниципального долга и объем расходов его обслуживание в исследуемом периоде не превысил ограничения, определённые Бюджетным кодексом РФ.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результатам направленных рекомендаций по оптимизации долговой политики города: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постановлением Администрации города Ростова-на-Дону от 18.11.2024 №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1383 утверждены основные направления долговой политики города Ростова-на-Дону на 2025 год и на плановый период 2026 и 2027 годов;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введены дополнительные ограничения на максимальный размер муниципального долга и расходов на его обслуживание;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сокращен объем планируемых к привлечению в 2024-2025 годах коммерческих кредитов.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итогам проведенных контрольных мероприятий объектам контроля направлены представления с предложениями по устранению выявленных нарушений, а также мерами по их пресечению и предупреждению. Практически все нарушения и недостатки объектами контроля своевременно устранены, в том числе посредством возмещения подрядными организациями средства в бюджет города; взыскания штрафных санкций по муниципальным контрактам в доход бюджета, в том числе путем обращения в судебные инстанции; внесены изменения в</w:t>
      </w:r>
      <w:r w:rsidR="00E22CFB">
        <w:rPr>
          <w:rFonts w:ascii="Arial" w:hAnsi="Arial" w:cs="Arial"/>
          <w:color w:val="000000" w:themeColor="text1"/>
          <w:sz w:val="27"/>
          <w:szCs w:val="27"/>
          <w:lang w:val="en-US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муниципальные правовые и локальные актыи т.д. Кроме того, применены меры дисциплинарной ответственности к</w:t>
      </w:r>
      <w:r w:rsidR="00E22CFB" w:rsidRPr="00E22CFB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сотрудникам, допустившим нарушения.</w:t>
      </w:r>
    </w:p>
    <w:p w:rsidR="00685B94" w:rsidRPr="000D3F3A" w:rsidRDefault="00685B94" w:rsidP="00685B94">
      <w:pPr>
        <w:pStyle w:val="ConsPlusTitle"/>
        <w:ind w:firstLine="709"/>
        <w:jc w:val="center"/>
        <w:outlineLvl w:val="2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265221" w:rsidP="00314854">
      <w:pPr>
        <w:pStyle w:val="ConsPlusTitle"/>
        <w:jc w:val="center"/>
        <w:outlineLvl w:val="2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2.2. </w:t>
      </w:r>
      <w:r w:rsidR="00685B94" w:rsidRPr="000D3F3A">
        <w:rPr>
          <w:rFonts w:ascii="Arial" w:hAnsi="Arial" w:cs="Arial"/>
          <w:sz w:val="27"/>
          <w:szCs w:val="27"/>
        </w:rPr>
        <w:t>Результаты экспертно-аналитических мероприятий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2024 году Палатой проведено 122 экспертно-аналитических мероприятия, в том числе: 120 мероприятий, связанных с регулярной экспертизой бюджетной отчетности и муниципальных нормативных правовых актов и 2 тематических мероприятия.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соответствии с действующим законодательством Палатой проведены: внешняя проверка годовой отчетности главных администраторов бюджетных средств и отчета об исполнении бюджета города за 2023 год; анализ ежеквартальных отчетов об исполнении бюджета в 2024 году; экспертиза проектов решений городской Думы </w:t>
      </w:r>
      <w:r w:rsidRPr="000D3F3A">
        <w:rPr>
          <w:rFonts w:ascii="Arial" w:hAnsi="Arial" w:cs="Arial"/>
          <w:sz w:val="27"/>
          <w:szCs w:val="27"/>
        </w:rPr>
        <w:lastRenderedPageBreak/>
        <w:t>«О</w:t>
      </w:r>
      <w:r w:rsidR="00314854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внесении изменений в решение Ростовской-на-Дону городской Думы «Об утверждении бюджета города Ростова-на-Дону на 2024 год и</w:t>
      </w:r>
      <w:r w:rsidR="00314854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на плановый период 2025 и 2026 годов»; экспертиза проекта «Об</w:t>
      </w:r>
      <w:r w:rsidR="00314854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утверждении бюджета города Ростова-на-Дону на 2025 год и на плановый период 2026 и 2027 годов», экспертиза проектов постановлений Администрации города о внесении изменений в муниципальные программы.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Целью проведения проверок годовой отчетности главных администраторов бюджетных средств и отчета об исполнении бюджета города является достоверность годовой отчетности бюджета муниципального образования и подготовка заключения на годовой отчет об исполнении бюджета.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Проверка отчетности ГАБС показала что отчетность в целом соответствовала требованиям Бюджетного </w:t>
      </w:r>
      <w:hyperlink r:id="rId16">
        <w:r w:rsidRPr="000D3F3A">
          <w:rPr>
            <w:rFonts w:ascii="Arial" w:hAnsi="Arial" w:cs="Arial"/>
            <w:sz w:val="27"/>
            <w:szCs w:val="27"/>
          </w:rPr>
          <w:t>кодекса</w:t>
        </w:r>
      </w:hyperlink>
      <w:r w:rsidRPr="000D3F3A">
        <w:rPr>
          <w:rFonts w:ascii="Arial" w:hAnsi="Arial" w:cs="Arial"/>
          <w:sz w:val="27"/>
          <w:szCs w:val="27"/>
        </w:rPr>
        <w:t xml:space="preserve"> РФ и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утвержденному Минфином РФ порядку составления и представления годовой отчетности об исполнении бюджетов бюджетной системы РФ. Вместе с тем выявлено 34 факта нарушений и недостатков, которые связаны с несоответствием отдельных приложений и форм бюджетной отчетности нормативным документам.</w:t>
      </w:r>
      <w:r w:rsidR="005231B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Данные нарушения</w:t>
      </w:r>
      <w:r w:rsidR="005231B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не повлияли на достоверность отчета об</w:t>
      </w:r>
      <w:r w:rsidR="00E22CFB">
        <w:rPr>
          <w:rFonts w:ascii="Arial" w:hAnsi="Arial" w:cs="Arial"/>
          <w:sz w:val="27"/>
          <w:szCs w:val="27"/>
          <w:lang w:val="en-US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исполнении бюджета города.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Отчетность ГАБС. Палатой отмечается положительная тенденция в части соблюдения ГАБС законодательства и повышения качества бюджетной отчетности.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Проведено 2 тематических мероприятия объектами</w:t>
      </w:r>
      <w:r w:rsidR="00265221" w:rsidRPr="000D3F3A">
        <w:rPr>
          <w:rFonts w:ascii="Arial" w:hAnsi="Arial" w:cs="Arial"/>
          <w:sz w:val="27"/>
          <w:szCs w:val="27"/>
        </w:rPr>
        <w:t xml:space="preserve"> исследований, которых являлись: </w:t>
      </w:r>
      <w:r w:rsidRPr="000D3F3A">
        <w:rPr>
          <w:rFonts w:ascii="Arial" w:hAnsi="Arial" w:cs="Arial"/>
          <w:sz w:val="27"/>
          <w:szCs w:val="27"/>
        </w:rPr>
        <w:t>Администрация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города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Ростова-на-Дону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и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ее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отраслевые(функциональные) органы – главные администраторы доходов бюджета города Ростова-на-Дону, кураторы налоговых расходов.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ходе мероприятий исследовались следующие вопросы: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- обоснованность прогноза доходов бюджета города </w:t>
      </w:r>
      <w:r w:rsidR="00265221" w:rsidRPr="000D3F3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 xml:space="preserve">Ростова-на-Дону, а также методической базы их формирования;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- соблюдение установленного порядка формирования перечня налоговых расходов муниципального образования, а также оценки эффективности налоговых расходов.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 результатам исследования установлено следующее: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1. Налоговые и неналоговые доходы бюджета сформированы на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основе прогнозных данных главных администраторов доходов бюджета, представленных в финансовый орган. Представленные главными администраторами прогнозные данные подтверждают плановые показатели Проекта решения о бюджете города.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Методики прогнозирования доходов, утвержденные главными администраторами доходов, в целом, соответствуют Общим требованиям, утвержденным Постановлением Правительства РФ №</w:t>
      </w:r>
      <w:r w:rsidR="0026522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574. Вместе с тем, выявлены отдельные нарушения и недостатки, такие, как: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прогнозирование доходов без учета результатов работы по взысканию дебиторской задолженности.</w:t>
      </w:r>
      <w:r w:rsidRPr="000D3F3A">
        <w:rPr>
          <w:rFonts w:ascii="Arial" w:hAnsi="Arial" w:cs="Arial"/>
          <w:color w:val="000000"/>
          <w:sz w:val="27"/>
          <w:szCs w:val="27"/>
        </w:rPr>
        <w:t xml:space="preserve"> Как результат, имеет место риск формирования недостоверных прогнозов поступлений доходов бюджета, в части занижения их плановых значений. </w:t>
      </w:r>
      <w:r w:rsidRPr="000D3F3A">
        <w:rPr>
          <w:rFonts w:ascii="Arial" w:hAnsi="Arial" w:cs="Arial"/>
          <w:sz w:val="27"/>
          <w:szCs w:val="27"/>
        </w:rPr>
        <w:t>В ходе экспертно-</w:t>
      </w:r>
      <w:r w:rsidRPr="000D3F3A">
        <w:rPr>
          <w:rFonts w:ascii="Arial" w:hAnsi="Arial" w:cs="Arial"/>
          <w:sz w:val="27"/>
          <w:szCs w:val="27"/>
        </w:rPr>
        <w:lastRenderedPageBreak/>
        <w:t>аналитического мероприятия ДИЗО и ДСЗН нарушения прекращены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– в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методики прогнозирования названных администраторов приведены в соответствие Общим требованиям;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методики отдельных главных администраторов доходов содержат противоречивые положения, что нивелирует их функциональное назначение как руководства для ис</w:t>
      </w:r>
      <w:r w:rsidRPr="000D3F3A">
        <w:rPr>
          <w:rFonts w:ascii="Arial" w:hAnsi="Arial" w:cs="Arial"/>
          <w:bCs/>
          <w:sz w:val="27"/>
          <w:szCs w:val="27"/>
        </w:rPr>
        <w:t>полнения бюджетных полномочий по</w:t>
      </w:r>
      <w:r w:rsidR="000C558E">
        <w:rPr>
          <w:rFonts w:ascii="Arial" w:hAnsi="Arial" w:cs="Arial"/>
          <w:bCs/>
          <w:sz w:val="27"/>
          <w:szCs w:val="27"/>
          <w:lang w:val="en-US"/>
        </w:rPr>
        <w:t> </w:t>
      </w:r>
      <w:r w:rsidR="000C558E">
        <w:rPr>
          <w:rFonts w:ascii="Arial" w:hAnsi="Arial" w:cs="Arial"/>
          <w:bCs/>
          <w:sz w:val="27"/>
          <w:szCs w:val="27"/>
        </w:rPr>
        <w:t> </w:t>
      </w:r>
      <w:r w:rsidRPr="000D3F3A">
        <w:rPr>
          <w:rFonts w:ascii="Arial" w:hAnsi="Arial" w:cs="Arial"/>
          <w:bCs/>
          <w:sz w:val="27"/>
          <w:szCs w:val="27"/>
        </w:rPr>
        <w:t xml:space="preserve">формированию прогнозов доходов бюджета. </w:t>
      </w:r>
      <w:r w:rsidRPr="000D3F3A">
        <w:rPr>
          <w:rFonts w:ascii="Arial" w:hAnsi="Arial" w:cs="Arial"/>
          <w:sz w:val="27"/>
          <w:szCs w:val="27"/>
        </w:rPr>
        <w:t>В ходе экспертно-аналитического мероприятия Администрацией города и</w:t>
      </w:r>
      <w:r w:rsidR="005231B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ДСЗН выявленные несоответствия устранены;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в ряде случаев утвержденные методики не находят практического применения, а именно: прогнозные объемы поступлений отдельных видов доходов определены без использования утвержденного алгоритма расчетов;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в отдельных случаях в расчетах прогнозных объемов поступлений главными администраторами применены некорректные значения показателей и(или) содержатся арифметические ошибки, что привело к завышению (занижению) прогнозных данных. В ходе экспертно-аналитического мероприятия администраторами доходов осуществлена корректировка расчетов, уточненные прогнозы направлены в финансовый орган.</w:t>
      </w:r>
    </w:p>
    <w:p w:rsidR="00685B94" w:rsidRPr="000D3F3A" w:rsidRDefault="00685B94" w:rsidP="00265221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 результатам экспертно-аналитического мероприятия Контрольно-счетной палатой даны рекомендации главным администраторам по</w:t>
      </w:r>
      <w:r w:rsidR="000C558E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приведению методик прогнозирования в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="0042192C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соответствие Общим требованиям, а также по обеспечению практического применения утвержденных методик.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2. Оценка эффективности налоговых расходов, в целом, осуществлена кураторами налоговых расходов в соответствии с</w:t>
      </w:r>
      <w:r w:rsidR="0042192C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утвержденными методиками. Вместе с тем, имеют место следующие нарушения и недостатки: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в нарушение порядка формирования перечня налоговых расходов допущено отнесение налогового расхода к</w:t>
      </w:r>
      <w:r w:rsidR="0042192C" w:rsidRPr="000D3F3A">
        <w:rPr>
          <w:rFonts w:ascii="Arial" w:hAnsi="Arial" w:cs="Arial"/>
          <w:sz w:val="27"/>
          <w:szCs w:val="27"/>
        </w:rPr>
        <w:t>  </w:t>
      </w:r>
      <w:r w:rsidRPr="000D3F3A">
        <w:rPr>
          <w:rFonts w:ascii="Arial" w:hAnsi="Arial" w:cs="Arial"/>
          <w:sz w:val="27"/>
          <w:szCs w:val="27"/>
        </w:rPr>
        <w:t xml:space="preserve">несоответствующей целевой категории, а также осуществлен некорректный выбор </w:t>
      </w:r>
      <w:r w:rsidRPr="000D3F3A">
        <w:rPr>
          <w:rFonts w:ascii="Arial" w:hAnsi="Arial" w:cs="Arial"/>
          <w:bCs/>
          <w:sz w:val="27"/>
          <w:szCs w:val="27"/>
        </w:rPr>
        <w:t>куратора налогового расхода;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с нарушениями установленных требований сформированы 10 из</w:t>
      </w:r>
      <w:r w:rsidR="0042192C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20 представленных паспортов </w:t>
      </w:r>
      <w:bookmarkStart w:id="5" w:name="_Hlk179456476"/>
      <w:r w:rsidRPr="000D3F3A">
        <w:rPr>
          <w:rFonts w:ascii="Arial" w:hAnsi="Arial" w:cs="Arial"/>
          <w:sz w:val="27"/>
          <w:szCs w:val="27"/>
        </w:rPr>
        <w:t>налоговых расходов</w:t>
      </w:r>
      <w:bookmarkEnd w:id="5"/>
      <w:r w:rsidRPr="000D3F3A">
        <w:rPr>
          <w:rFonts w:ascii="Arial" w:hAnsi="Arial" w:cs="Arial"/>
          <w:sz w:val="27"/>
          <w:szCs w:val="27"/>
        </w:rPr>
        <w:t xml:space="preserve">, а именно: паспорта </w:t>
      </w:r>
      <w:r w:rsidRPr="000D3F3A">
        <w:rPr>
          <w:rFonts w:ascii="Arial" w:hAnsi="Arial" w:cs="Arial"/>
          <w:bCs/>
          <w:sz w:val="27"/>
          <w:szCs w:val="27"/>
        </w:rPr>
        <w:t xml:space="preserve">содержат недостоверную информацию о категории налогоплательщиков, об </w:t>
      </w:r>
      <w:r w:rsidRPr="000D3F3A">
        <w:rPr>
          <w:rFonts w:ascii="Arial" w:hAnsi="Arial" w:cs="Arial"/>
          <w:sz w:val="27"/>
          <w:szCs w:val="27"/>
        </w:rPr>
        <w:t>условиях и целях предоставления налоговых льгот, о датах вступления в силу НПА, устанавливающих льготы. Кроме того, прогнозные данные об объеме налоговых льгот на 2024-2027 годы, отраженные в паспортах налоговых расходов, не соответствуют аналогичным данным муниципальных программ;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- в ряде случаев кураторами не соблюден порядок </w:t>
      </w:r>
      <w:r w:rsidRPr="000D3F3A">
        <w:rPr>
          <w:rFonts w:ascii="Arial" w:hAnsi="Arial" w:cs="Arial"/>
          <w:bCs/>
          <w:sz w:val="27"/>
          <w:szCs w:val="27"/>
        </w:rPr>
        <w:t xml:space="preserve">проведения оценки эффективности налоговых расходов, а именно: не применены обязательные критерии оценки, отсутствуют </w:t>
      </w:r>
      <w:r w:rsidRPr="000D3F3A">
        <w:rPr>
          <w:rFonts w:ascii="Arial" w:hAnsi="Arial" w:cs="Arial"/>
          <w:sz w:val="27"/>
          <w:szCs w:val="27"/>
        </w:rPr>
        <w:t>необходимые выводы о</w:t>
      </w:r>
      <w:r w:rsidR="0042192C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вкладе налоговых расходов в достижение целей муниципальных программ, а также о наличии более результативных альтернативных механизмов достижения этих целей.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lastRenderedPageBreak/>
        <w:t>По результатам экспертно-аналитического мероприятия Контрольно-счетной палатой даны рекомендации кураторам налоговых расходов по обеспечению исполнения требований утвержденного порядка оценки эффективности налоговых расходов.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</w:t>
      </w:r>
      <w:r w:rsidR="0042192C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результатам мероприятия Департаментом экономики инициировано внесение изменений в утвержденный порядок формирования перечня налоговых расходов муниципального образования и оценки их эффективности.</w:t>
      </w: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Информация о результатах проведенных экспертно-аналитических мероприятий направлена Председателю городской Думы </w:t>
      </w:r>
      <w:r w:rsidR="00CE1D11" w:rsidRPr="000D3F3A">
        <w:rPr>
          <w:rFonts w:ascii="Arial" w:hAnsi="Arial" w:cs="Arial"/>
          <w:sz w:val="27"/>
          <w:szCs w:val="27"/>
        </w:rPr>
        <w:t>–</w:t>
      </w:r>
      <w:r w:rsidRPr="000D3F3A">
        <w:rPr>
          <w:rFonts w:ascii="Arial" w:hAnsi="Arial" w:cs="Arial"/>
          <w:sz w:val="27"/>
          <w:szCs w:val="27"/>
        </w:rPr>
        <w:t xml:space="preserve"> главе города Ростова-на-Дону и главе Администрации города для сведения и принятия мер.</w:t>
      </w:r>
    </w:p>
    <w:p w:rsidR="00685B94" w:rsidRPr="000D3F3A" w:rsidRDefault="00685B94" w:rsidP="00685B94">
      <w:pPr>
        <w:rPr>
          <w:rFonts w:ascii="Arial" w:hAnsi="Arial" w:cs="Arial"/>
          <w:sz w:val="27"/>
          <w:szCs w:val="27"/>
        </w:rPr>
      </w:pPr>
    </w:p>
    <w:p w:rsidR="00685B94" w:rsidRPr="000D3F3A" w:rsidRDefault="00685B94" w:rsidP="00CE1D11">
      <w:pPr>
        <w:pStyle w:val="ConsPlusTitle"/>
        <w:jc w:val="center"/>
        <w:outlineLvl w:val="1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3. Результаты иной деятельности</w:t>
      </w:r>
    </w:p>
    <w:p w:rsidR="00685B94" w:rsidRPr="000D3F3A" w:rsidRDefault="00685B94" w:rsidP="00CE1D11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CE1D11">
      <w:pPr>
        <w:pStyle w:val="ConsPlusTitle"/>
        <w:jc w:val="center"/>
        <w:outlineLvl w:val="2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3.1. Обеспечение гласности и противодействие коррупции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периоде реализация принципов гласности и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открытости в деятельности Палаты осуществлялась путем регулярного размещения информации о проводимых контрольных и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экспертно-аналитических мероприятиях, их результатах, принятых решениях и мерах по</w:t>
      </w:r>
      <w:r w:rsidR="000C558E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выполнению предложений и рекомендаций на странице Контрольно-счетной палаты на официальном портале городской Думы и</w:t>
      </w:r>
      <w:r w:rsidR="000C558E">
        <w:rPr>
          <w:rFonts w:ascii="Arial" w:hAnsi="Arial" w:cs="Arial"/>
          <w:sz w:val="27"/>
          <w:szCs w:val="27"/>
        </w:rPr>
        <w:t>  </w:t>
      </w:r>
      <w:r w:rsidRPr="000D3F3A">
        <w:rPr>
          <w:rFonts w:ascii="Arial" w:hAnsi="Arial" w:cs="Arial"/>
          <w:sz w:val="27"/>
          <w:szCs w:val="27"/>
        </w:rPr>
        <w:t>Администрации города Ростова-на-Дону в</w:t>
      </w:r>
      <w:r w:rsidR="000C558E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информационно-телекоммуникационной сети «Интернет».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периоде в Контрольно-счетную палату поступило три обращения граждан. Основная тематика обращений: расходование бюджетных средств и соблюдение требований законодательства. В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пределах своих полномочий специалистами Палаты авторам обращений даны соответствующие ответы и разъяснения. По одному из обращений проведено контрольное мероприятие.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Кроме того, Палата осуществляла письменное консультирование органов Администрации города, муниципальных учреждений и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предприятий, а также контрольно-счетных органов других муниципалитетов на основании поступавших запросов (14 шт.).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2024 году Контрольно-счетной палатой работа по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осуществлению мероприятий по противодействию коррупции проводилась в соответствии с утвержденным Планом, которым предусмотрен комплекс мер, направленных на выявление и устранение причин и условий, способствующих возникновению коррупционных проявлений и конфликта интересов на муниципальной службе.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Факты, связанные с нарушением муниципальными служащими требований к служебному поведению, и факты склонения муниципальных служащих к совершению коррупционных правонарушений отсутствуют.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периоде Палатой организована работа по приему и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обработке сведений о доходах, расходах, об имуществе и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обязательствах имущественного характера лиц, замещающих </w:t>
      </w:r>
      <w:r w:rsidRPr="000D3F3A">
        <w:rPr>
          <w:rFonts w:ascii="Arial" w:hAnsi="Arial" w:cs="Arial"/>
          <w:sz w:val="27"/>
          <w:szCs w:val="27"/>
        </w:rPr>
        <w:lastRenderedPageBreak/>
        <w:t xml:space="preserve">должности муниципальной службы и муниципальные должности, представивших сведения на себя и членов семьи за 2023 год.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рамках выполнения мероприятий по противодействию коррупции в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городе Ростове-на-Дону председатель и аудиторы Палаты принимали участие в заседаниях Комиссии по координации работы по противодействию коррупции в городе Ростове-на-Дону и Комиссии по координации работы по противодействию коррупции в Ростовской области.</w:t>
      </w:r>
    </w:p>
    <w:p w:rsidR="00685B94" w:rsidRPr="000D3F3A" w:rsidRDefault="00685B94" w:rsidP="007E24C2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7E24C2">
      <w:pPr>
        <w:pStyle w:val="ConsPlusTitle"/>
        <w:jc w:val="center"/>
        <w:outlineLvl w:val="2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3.2. Взаимодействие и сотрудничество</w:t>
      </w:r>
    </w:p>
    <w:p w:rsidR="00685B94" w:rsidRPr="000D3F3A" w:rsidRDefault="00685B94" w:rsidP="007E24C2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с органами местного самоуправления города </w:t>
      </w:r>
      <w:r w:rsidR="00265221" w:rsidRPr="000D3F3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>Ростова-на-Дону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и другими КСО</w:t>
      </w:r>
    </w:p>
    <w:p w:rsidR="00685B94" w:rsidRPr="000D3F3A" w:rsidRDefault="00685B94" w:rsidP="007E24C2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2024 году по итогам всех проведенных Палатой контрольных и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экспертно-аналитических мероприятий в адрес Председателя городской Думы </w:t>
      </w:r>
      <w:r w:rsidR="007E24C2" w:rsidRPr="000D3F3A">
        <w:rPr>
          <w:rFonts w:ascii="Arial" w:hAnsi="Arial" w:cs="Arial"/>
          <w:sz w:val="27"/>
          <w:szCs w:val="27"/>
        </w:rPr>
        <w:t>–</w:t>
      </w:r>
      <w:r w:rsidRPr="000D3F3A">
        <w:rPr>
          <w:rFonts w:ascii="Arial" w:hAnsi="Arial" w:cs="Arial"/>
          <w:sz w:val="27"/>
          <w:szCs w:val="27"/>
        </w:rPr>
        <w:t xml:space="preserve"> главы города Ростова-на-Дону и главы Администрации города в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установленном порядке направлялась подробная информация о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результатах мероприятий, а также предложения по устранению и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недопущению впредь выявленных нарушений и недостатков в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деятельности объектов контроля. По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результатам рассмотрения данной информации главой Администрации города устанавливались конкретные поручения отраслевым (функциональным) органам Администрации города.</w:t>
      </w: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году продолжена практика выступлений должностных лиц Контрольно-счетной палаты на заседании городской Думы с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докладами по результатам внешней проверки годового отчета об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исполнении бюджета города, по заключению на проект бюджета на очередной финансовый период.</w:t>
      </w: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2024 году Контрольно-счетной палатой города Ростова-на-Дону активно осуществлялось межмуниципальное сотрудничество.</w:t>
      </w: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периоде Палата на постоянной основе принимала участие в различных мероприятиях, проводимых Счетной палатой Российской Федерации, Союзом МКСО, Советом контрольно-счетных органов при Контрольно-счетной палате Ростовской области: дискуссионных площадках, круглых столах, рабочих встречах, заседаниях комиссий, проводимым по актуальным темам внешнего муниципального финансового контроля.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феврале 2024 года в рамках круглого стола Рабочей группы Высшего совета Всероссийской политической партии «Единая Россия», посвященного проработке вопроса по предоставлению МКСО доступа к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подсистемам ЕИС председатель Палаты выступила с докладом на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тему «Возможности и преимущества использования подсистем «Мониторинг закупок» и «Риск-мониторинг» в деятельности муниципальных контрольно-счетных органов».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мае 2024 года Контрольно-счетной палатой города </w:t>
      </w:r>
      <w:r w:rsidR="007E24C2" w:rsidRPr="000D3F3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 xml:space="preserve">Ростова-на-Дону в онлайн формате организован круглый стол Союза муниципальных контрольно-счетных органов на тему «Проведение </w:t>
      </w:r>
      <w:r w:rsidRPr="000D3F3A">
        <w:rPr>
          <w:rFonts w:ascii="Arial" w:hAnsi="Arial" w:cs="Arial"/>
          <w:sz w:val="27"/>
          <w:szCs w:val="27"/>
        </w:rPr>
        <w:lastRenderedPageBreak/>
        <w:t>экспертиз нормативных правовых актов об утверждении и внесении изменений в документы стратегического планирования».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26 сентября в городе Ростове-на-Дону состоялось XV Общее собрание Представительства Союза МКСО в ЮФО, в котором приняли участие представители 35 палат, а также представители Совета КСО Ростовской области и региональных контрольно-счетных органов. В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рамках комплекса мероприятий Общего собрания Представительства Союза МКСО в ЮФО было проведено заседание круглого стола, </w:t>
      </w:r>
      <w:r w:rsidR="007D284A" w:rsidRPr="000D3F3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 xml:space="preserve">а также была организована дискуссионная площадка с обсуждением актуальных тем внешнего муниципального финансового контроля: оперативный анализ исполнения местного бюджета муниципального образования, экспертиза проектов решений об утверждении муниципального бюджета на очередной год и плановый период, администрирование доходов и работа с дебиторской задолженностью. 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</w:t>
      </w:r>
      <w:r w:rsidR="00180E03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ходе заседания круглого стола Палатой представлен доклад о</w:t>
      </w:r>
      <w:r w:rsidR="00180E03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практике контроля за администрированием доходов и работой с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дебиторской задолженностью, реализуемой в городе Ростове-на-Дону.</w:t>
      </w:r>
    </w:p>
    <w:p w:rsidR="00685B94" w:rsidRPr="000D3F3A" w:rsidRDefault="00685B94" w:rsidP="00051335">
      <w:pPr>
        <w:pStyle w:val="ConsPlusNormal"/>
        <w:jc w:val="center"/>
        <w:rPr>
          <w:rFonts w:ascii="Arial" w:hAnsi="Arial" w:cs="Arial"/>
          <w:sz w:val="27"/>
          <w:szCs w:val="27"/>
        </w:rPr>
      </w:pPr>
    </w:p>
    <w:p w:rsidR="00685B94" w:rsidRPr="000D3F3A" w:rsidRDefault="00685B94" w:rsidP="00051335">
      <w:pPr>
        <w:pStyle w:val="ConsPlusTitle"/>
        <w:jc w:val="center"/>
        <w:outlineLvl w:val="2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3.3. Финансово-хозяйственная деятельность</w:t>
      </w:r>
    </w:p>
    <w:p w:rsidR="00685B94" w:rsidRPr="000D3F3A" w:rsidRDefault="00685B94" w:rsidP="00051335">
      <w:pPr>
        <w:pStyle w:val="ConsPlusNormal"/>
        <w:jc w:val="center"/>
        <w:rPr>
          <w:rFonts w:ascii="Arial" w:hAnsi="Arial" w:cs="Arial"/>
          <w:sz w:val="27"/>
          <w:szCs w:val="27"/>
        </w:rPr>
      </w:pP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соответствии с Бюджетным </w:t>
      </w:r>
      <w:hyperlink r:id="rId17">
        <w:r w:rsidRPr="000D3F3A">
          <w:rPr>
            <w:rFonts w:ascii="Arial" w:hAnsi="Arial" w:cs="Arial"/>
            <w:sz w:val="27"/>
            <w:szCs w:val="27"/>
          </w:rPr>
          <w:t>кодексом</w:t>
        </w:r>
      </w:hyperlink>
      <w:r w:rsidRPr="000D3F3A">
        <w:rPr>
          <w:rFonts w:ascii="Arial" w:hAnsi="Arial" w:cs="Arial"/>
          <w:sz w:val="27"/>
          <w:szCs w:val="27"/>
        </w:rPr>
        <w:t xml:space="preserve"> РФ, </w:t>
      </w:r>
      <w:hyperlink r:id="rId18">
        <w:r w:rsidRPr="000D3F3A">
          <w:rPr>
            <w:rFonts w:ascii="Arial" w:hAnsi="Arial" w:cs="Arial"/>
            <w:sz w:val="27"/>
            <w:szCs w:val="27"/>
          </w:rPr>
          <w:t>решением</w:t>
        </w:r>
      </w:hyperlink>
      <w:r w:rsidRPr="000D3F3A">
        <w:rPr>
          <w:rFonts w:ascii="Arial" w:hAnsi="Arial" w:cs="Arial"/>
          <w:sz w:val="27"/>
          <w:szCs w:val="27"/>
        </w:rPr>
        <w:t xml:space="preserve"> </w:t>
      </w:r>
      <w:r w:rsidR="007162E8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>Ростовской-на-Дону городской Думы от 20.12.2011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222 «О принятии «Положения о</w:t>
      </w:r>
      <w:r w:rsidR="007162E8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Контрольно-счетной палате города Ростова-на-Дону» в</w:t>
      </w:r>
      <w:r w:rsidR="00180E03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новой редакции», постановлением Администрации города Ростова-на-Дону от 15.10.2021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920 «Об утверждении перечней главных администраторов доходов бюджета и источников финансирования дефицита бюджета города Ростова-на-Дону» Контрольно-счетная палата в отчетном периоде осуществляла бюджетные полномочия главного администратора доходов бюджета города. Показатели по доходам бюджета города, администрируемым Палатой, утверждены в размере 58,0 тыс. рублей. По состоянию на</w:t>
      </w:r>
      <w:r w:rsidR="00180E03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01.01.2025 на лицевой счет Палаты по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результатам контрольной деятельности поступили денежные средства в 51,0 тыс. рублей. </w:t>
      </w: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Утвержденные бюджетные ассигнования на обеспечение деятельности Палаты в 2024 году в рамках возложенных полномочий исполнены на 99,9 процента. Выполнение мероприятий по материально-техническому обеспечению деятельности Палатой осуществлялось в соответствии с утвержденным Приказом Контрольно-счетной палаты города от 23.11.2023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06-03/57 «Об утверждении нормативных затрат на обеспечение функций Контрольно-счетной палаты города Ростова-на-Дону». В отчетном периоде организовано и проведено 4 конкурентные процедуры закупок. Соблюдение процедур, установленных </w:t>
      </w:r>
      <w:hyperlink r:id="rId19">
        <w:r w:rsidRPr="000D3F3A">
          <w:rPr>
            <w:rFonts w:ascii="Arial" w:hAnsi="Arial" w:cs="Arial"/>
            <w:sz w:val="27"/>
            <w:szCs w:val="27"/>
          </w:rPr>
          <w:t>Законом</w:t>
        </w:r>
      </w:hyperlink>
      <w:r w:rsidRPr="000D3F3A">
        <w:rPr>
          <w:rFonts w:ascii="Arial" w:hAnsi="Arial" w:cs="Arial"/>
          <w:sz w:val="27"/>
          <w:szCs w:val="27"/>
        </w:rPr>
        <w:t xml:space="preserve"> </w:t>
      </w:r>
      <w:r w:rsidR="007162E8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>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44-ФЗ, позволило повысить результативность закупок и привело в</w:t>
      </w:r>
      <w:r w:rsidR="007162E8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отчетном году к</w:t>
      </w:r>
      <w:r w:rsidR="0019050D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экономии бюджетных средств в размере 436,7 тыс. рублей.</w:t>
      </w: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целях реализации требований Закона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44-ФЗ в 2024 году закупки у субъектов малого предпринимательства, социально </w:t>
      </w:r>
      <w:r w:rsidRPr="000D3F3A">
        <w:rPr>
          <w:rFonts w:ascii="Arial" w:hAnsi="Arial" w:cs="Arial"/>
          <w:sz w:val="27"/>
          <w:szCs w:val="27"/>
        </w:rPr>
        <w:lastRenderedPageBreak/>
        <w:t>ориентированных некоммерческих организаций осуществлены в</w:t>
      </w:r>
      <w:r w:rsidR="00F33C1E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объеме 86,6% от совокупного годового объема закупок на сумму </w:t>
      </w:r>
      <w:r w:rsidR="007D284A" w:rsidRPr="000D3F3A">
        <w:rPr>
          <w:rFonts w:ascii="Arial" w:hAnsi="Arial" w:cs="Arial"/>
          <w:sz w:val="27"/>
          <w:szCs w:val="27"/>
        </w:rPr>
        <w:t>762,2 </w:t>
      </w:r>
      <w:r w:rsidRPr="000D3F3A">
        <w:rPr>
          <w:rFonts w:ascii="Arial" w:hAnsi="Arial" w:cs="Arial"/>
          <w:sz w:val="27"/>
          <w:szCs w:val="27"/>
        </w:rPr>
        <w:t>тыс. рублей, что соответствует норме, определённой ч.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1 ст.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30 Закона </w:t>
      </w:r>
      <w:r w:rsidR="008E147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>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44-ФЗ.</w:t>
      </w: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Палатой в рамках внутреннего финансового аудита, осуществляемого на основании приказа от 21.12.2021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01-01/12 «Об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утверждении порядка осуществления внутреннего финансового аудита в Контрольно-счетной палате города Ростова-на-Дону», в 2024 году проведено 2 мероприятия, по результатам которых нарушений положений нормативных правовых актов, регулирующих бюджетные правоотношения и недостатков при исполнении бюджетных процедур не</w:t>
      </w:r>
      <w:r w:rsidR="00F33C1E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выявлено.</w:t>
      </w: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Продолжена работа по повышению квалификации сотрудников Контрольно-счетной палаты. В 2024 году 14 сотрудников Палаты прошли обучение по актуальным темам, связанным с: противодействием коррупции на государственной гражданской службе (6 чел.); сферой закупок товаров, работ, услуг для государс</w:t>
      </w:r>
      <w:r w:rsidR="007D284A" w:rsidRPr="000D3F3A">
        <w:rPr>
          <w:rFonts w:ascii="Arial" w:hAnsi="Arial" w:cs="Arial"/>
          <w:sz w:val="27"/>
          <w:szCs w:val="27"/>
        </w:rPr>
        <w:t>твенных и</w:t>
      </w:r>
      <w:r w:rsidR="008E147A">
        <w:rPr>
          <w:rFonts w:ascii="Arial" w:hAnsi="Arial" w:cs="Arial"/>
          <w:sz w:val="27"/>
          <w:szCs w:val="27"/>
        </w:rPr>
        <w:t xml:space="preserve"> </w:t>
      </w:r>
      <w:r w:rsidR="007D284A" w:rsidRPr="000D3F3A">
        <w:rPr>
          <w:rFonts w:ascii="Arial" w:hAnsi="Arial" w:cs="Arial"/>
          <w:sz w:val="27"/>
          <w:szCs w:val="27"/>
        </w:rPr>
        <w:t>муниципальных нужд (1 </w:t>
      </w:r>
      <w:r w:rsidRPr="000D3F3A">
        <w:rPr>
          <w:rFonts w:ascii="Arial" w:hAnsi="Arial" w:cs="Arial"/>
          <w:sz w:val="27"/>
          <w:szCs w:val="27"/>
        </w:rPr>
        <w:t>чел.); ценообразованием и сметным нормированием в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строительстве (2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чел.); обеспечением информационной безопасности в</w:t>
      </w:r>
      <w:r w:rsidR="0019050D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деятельности государственных органов при применении цифровых технологий и государственных информационных систем (1 чел.); государственным (муниципальным) аудитом в строительстве (ценообразование и сметное дело в</w:t>
      </w:r>
      <w:r w:rsidR="008E147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строительстве) (1 чел.); правовым регулированием контрольно-надзорной деятельности (1 чел.); кадровыми технологиями в системе государственного и муниципального управления (1 чел.); эффективным документооборотом (1 чел.).</w:t>
      </w: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41043F" w:rsidRDefault="00685B94" w:rsidP="007D284A">
      <w:pPr>
        <w:ind w:firstLine="709"/>
        <w:jc w:val="center"/>
        <w:rPr>
          <w:b/>
          <w:sz w:val="20"/>
          <w:szCs w:val="20"/>
        </w:rPr>
      </w:pPr>
    </w:p>
    <w:sectPr w:rsidR="00685B94" w:rsidRPr="0041043F" w:rsidSect="00DC3279">
      <w:headerReference w:type="even" r:id="rId20"/>
      <w:headerReference w:type="default" r:id="rId21"/>
      <w:headerReference w:type="first" r:id="rId2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47A" w:rsidRDefault="008E147A">
      <w:r>
        <w:separator/>
      </w:r>
    </w:p>
  </w:endnote>
  <w:endnote w:type="continuationSeparator" w:id="0">
    <w:p w:rsidR="008E147A" w:rsidRDefault="008E1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47A" w:rsidRDefault="008E147A">
      <w:r>
        <w:separator/>
      </w:r>
    </w:p>
  </w:footnote>
  <w:footnote w:type="continuationSeparator" w:id="0">
    <w:p w:rsidR="008E147A" w:rsidRDefault="008E1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47A" w:rsidRDefault="005330B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E147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147A" w:rsidRDefault="008E147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47A" w:rsidRPr="00664595" w:rsidRDefault="005330B2" w:rsidP="00DC7685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8E147A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10F5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47A" w:rsidRPr="00CA56CB" w:rsidRDefault="008E147A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6E07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335"/>
    <w:rsid w:val="000516D4"/>
    <w:rsid w:val="00054A54"/>
    <w:rsid w:val="00054FF5"/>
    <w:rsid w:val="00056747"/>
    <w:rsid w:val="000573F5"/>
    <w:rsid w:val="000606C8"/>
    <w:rsid w:val="00061B5A"/>
    <w:rsid w:val="000621A1"/>
    <w:rsid w:val="000623FA"/>
    <w:rsid w:val="00062B47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5B7E"/>
    <w:rsid w:val="0009194E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976"/>
    <w:rsid w:val="000A4F93"/>
    <w:rsid w:val="000A5B0B"/>
    <w:rsid w:val="000A5D44"/>
    <w:rsid w:val="000A69FE"/>
    <w:rsid w:val="000B06CB"/>
    <w:rsid w:val="000C0D0A"/>
    <w:rsid w:val="000C24E3"/>
    <w:rsid w:val="000C4C2D"/>
    <w:rsid w:val="000C558E"/>
    <w:rsid w:val="000C739A"/>
    <w:rsid w:val="000D0077"/>
    <w:rsid w:val="000D111C"/>
    <w:rsid w:val="000D3F3A"/>
    <w:rsid w:val="000D4889"/>
    <w:rsid w:val="000E0894"/>
    <w:rsid w:val="000E4323"/>
    <w:rsid w:val="000F3A41"/>
    <w:rsid w:val="000F4275"/>
    <w:rsid w:val="000F448E"/>
    <w:rsid w:val="000F4CDC"/>
    <w:rsid w:val="000F504F"/>
    <w:rsid w:val="000F51B1"/>
    <w:rsid w:val="000F66DF"/>
    <w:rsid w:val="000F6ACF"/>
    <w:rsid w:val="000F7F5E"/>
    <w:rsid w:val="001040F0"/>
    <w:rsid w:val="00105B48"/>
    <w:rsid w:val="001062A8"/>
    <w:rsid w:val="00110F52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8D6"/>
    <w:rsid w:val="00170A57"/>
    <w:rsid w:val="001717AF"/>
    <w:rsid w:val="00173914"/>
    <w:rsid w:val="00176756"/>
    <w:rsid w:val="00180E03"/>
    <w:rsid w:val="00182ABA"/>
    <w:rsid w:val="00182AE7"/>
    <w:rsid w:val="00184246"/>
    <w:rsid w:val="00184A1E"/>
    <w:rsid w:val="00185857"/>
    <w:rsid w:val="00186926"/>
    <w:rsid w:val="00187932"/>
    <w:rsid w:val="0019050D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3A72"/>
    <w:rsid w:val="001A49DF"/>
    <w:rsid w:val="001A640B"/>
    <w:rsid w:val="001A79E2"/>
    <w:rsid w:val="001A7BF6"/>
    <w:rsid w:val="001A7C47"/>
    <w:rsid w:val="001A7C48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65221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A9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55C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1081"/>
    <w:rsid w:val="002F216A"/>
    <w:rsid w:val="002F5AAC"/>
    <w:rsid w:val="00300A74"/>
    <w:rsid w:val="003024D6"/>
    <w:rsid w:val="003050CA"/>
    <w:rsid w:val="00311EE8"/>
    <w:rsid w:val="00314854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3B6E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31C1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0CE9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3332"/>
    <w:rsid w:val="0041408A"/>
    <w:rsid w:val="004147FA"/>
    <w:rsid w:val="00417491"/>
    <w:rsid w:val="0042192C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8F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2BA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0262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1D7B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31B1"/>
    <w:rsid w:val="005254A9"/>
    <w:rsid w:val="00526D20"/>
    <w:rsid w:val="005272B6"/>
    <w:rsid w:val="00530F31"/>
    <w:rsid w:val="00531273"/>
    <w:rsid w:val="005318C5"/>
    <w:rsid w:val="005330B2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4C9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154D"/>
    <w:rsid w:val="0067577C"/>
    <w:rsid w:val="00676D31"/>
    <w:rsid w:val="0067736B"/>
    <w:rsid w:val="00683186"/>
    <w:rsid w:val="0068462F"/>
    <w:rsid w:val="00685B94"/>
    <w:rsid w:val="006873CC"/>
    <w:rsid w:val="00693FC7"/>
    <w:rsid w:val="006949F5"/>
    <w:rsid w:val="006955FA"/>
    <w:rsid w:val="00696B99"/>
    <w:rsid w:val="00697D68"/>
    <w:rsid w:val="00697EF4"/>
    <w:rsid w:val="006A011D"/>
    <w:rsid w:val="006A137C"/>
    <w:rsid w:val="006A232C"/>
    <w:rsid w:val="006A2A9E"/>
    <w:rsid w:val="006A2FD3"/>
    <w:rsid w:val="006A4026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30A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1D9"/>
    <w:rsid w:val="007162E8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2830"/>
    <w:rsid w:val="00743757"/>
    <w:rsid w:val="00746CC7"/>
    <w:rsid w:val="007540E9"/>
    <w:rsid w:val="007552AA"/>
    <w:rsid w:val="0075732E"/>
    <w:rsid w:val="00757A8D"/>
    <w:rsid w:val="0076058C"/>
    <w:rsid w:val="00760E03"/>
    <w:rsid w:val="007631A3"/>
    <w:rsid w:val="00763B60"/>
    <w:rsid w:val="007667B2"/>
    <w:rsid w:val="00766C81"/>
    <w:rsid w:val="007678CD"/>
    <w:rsid w:val="007726AB"/>
    <w:rsid w:val="007726E2"/>
    <w:rsid w:val="00775FB1"/>
    <w:rsid w:val="00781202"/>
    <w:rsid w:val="00781C3B"/>
    <w:rsid w:val="00781E8C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B2B"/>
    <w:rsid w:val="007B73C4"/>
    <w:rsid w:val="007C2084"/>
    <w:rsid w:val="007C6471"/>
    <w:rsid w:val="007C659E"/>
    <w:rsid w:val="007C6C5E"/>
    <w:rsid w:val="007C6EC2"/>
    <w:rsid w:val="007C7390"/>
    <w:rsid w:val="007C7823"/>
    <w:rsid w:val="007D284A"/>
    <w:rsid w:val="007D4ABD"/>
    <w:rsid w:val="007D4F5D"/>
    <w:rsid w:val="007D5422"/>
    <w:rsid w:val="007D59B9"/>
    <w:rsid w:val="007D777D"/>
    <w:rsid w:val="007E0736"/>
    <w:rsid w:val="007E0DBD"/>
    <w:rsid w:val="007E0EA6"/>
    <w:rsid w:val="007E24C2"/>
    <w:rsid w:val="007E408D"/>
    <w:rsid w:val="007E63F4"/>
    <w:rsid w:val="007F0322"/>
    <w:rsid w:val="007F35F6"/>
    <w:rsid w:val="007F3843"/>
    <w:rsid w:val="007F440D"/>
    <w:rsid w:val="007F5F3F"/>
    <w:rsid w:val="007F6309"/>
    <w:rsid w:val="007F792F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442"/>
    <w:rsid w:val="00815CE0"/>
    <w:rsid w:val="00823548"/>
    <w:rsid w:val="008258E3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56B5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C02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25D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C7A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147A"/>
    <w:rsid w:val="008E40A2"/>
    <w:rsid w:val="008E4EA1"/>
    <w:rsid w:val="008E630B"/>
    <w:rsid w:val="008F04FF"/>
    <w:rsid w:val="008F0A3A"/>
    <w:rsid w:val="008F13B4"/>
    <w:rsid w:val="008F1F3B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0A85"/>
    <w:rsid w:val="009419C0"/>
    <w:rsid w:val="00942B62"/>
    <w:rsid w:val="00945E88"/>
    <w:rsid w:val="00946705"/>
    <w:rsid w:val="009475B5"/>
    <w:rsid w:val="00950E6A"/>
    <w:rsid w:val="00952440"/>
    <w:rsid w:val="009547EE"/>
    <w:rsid w:val="0095569E"/>
    <w:rsid w:val="009603B0"/>
    <w:rsid w:val="00961D1F"/>
    <w:rsid w:val="00962F96"/>
    <w:rsid w:val="00963795"/>
    <w:rsid w:val="00963F5E"/>
    <w:rsid w:val="00965E45"/>
    <w:rsid w:val="00966357"/>
    <w:rsid w:val="00966CC2"/>
    <w:rsid w:val="0096757D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A7E17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44D2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2D6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7EB6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ADC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D29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35BB"/>
    <w:rsid w:val="00C245F0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4A73"/>
    <w:rsid w:val="00C65F80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81D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1D11"/>
    <w:rsid w:val="00CE26BC"/>
    <w:rsid w:val="00CE2886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3C0C"/>
    <w:rsid w:val="00DC4C06"/>
    <w:rsid w:val="00DC5CF3"/>
    <w:rsid w:val="00DC7685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CF5"/>
    <w:rsid w:val="00DF6B38"/>
    <w:rsid w:val="00DF7929"/>
    <w:rsid w:val="00DF7B66"/>
    <w:rsid w:val="00E04353"/>
    <w:rsid w:val="00E045C0"/>
    <w:rsid w:val="00E04915"/>
    <w:rsid w:val="00E0528F"/>
    <w:rsid w:val="00E05DD6"/>
    <w:rsid w:val="00E12E1B"/>
    <w:rsid w:val="00E147CD"/>
    <w:rsid w:val="00E14AA5"/>
    <w:rsid w:val="00E1616F"/>
    <w:rsid w:val="00E16242"/>
    <w:rsid w:val="00E22CD4"/>
    <w:rsid w:val="00E22CFB"/>
    <w:rsid w:val="00E25D63"/>
    <w:rsid w:val="00E263E5"/>
    <w:rsid w:val="00E32452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38E7"/>
    <w:rsid w:val="00E642DC"/>
    <w:rsid w:val="00E64E0B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284E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2E05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C1E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470D2"/>
    <w:rsid w:val="00F5094A"/>
    <w:rsid w:val="00F51844"/>
    <w:rsid w:val="00F5358E"/>
    <w:rsid w:val="00F61281"/>
    <w:rsid w:val="00F61960"/>
    <w:rsid w:val="00F61C3E"/>
    <w:rsid w:val="00F61C94"/>
    <w:rsid w:val="00F621B3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E75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97C58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001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F5959F-214B-467C-A150-06D39895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685B94"/>
    <w:pPr>
      <w:keepNext/>
      <w:keepLines/>
      <w:spacing w:before="360" w:after="80"/>
      <w:ind w:firstLine="709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B94"/>
    <w:pPr>
      <w:keepNext/>
      <w:keepLines/>
      <w:spacing w:before="160" w:after="80"/>
      <w:ind w:firstLine="709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B94"/>
    <w:pPr>
      <w:keepNext/>
      <w:keepLines/>
      <w:spacing w:before="80" w:after="40"/>
      <w:ind w:firstLine="709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B94"/>
    <w:pPr>
      <w:keepNext/>
      <w:keepLines/>
      <w:spacing w:before="80" w:after="40"/>
      <w:ind w:firstLine="709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B94"/>
    <w:pPr>
      <w:keepNext/>
      <w:keepLines/>
      <w:spacing w:before="40"/>
      <w:ind w:firstLine="709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B94"/>
    <w:pPr>
      <w:keepNext/>
      <w:keepLines/>
      <w:spacing w:before="40"/>
      <w:ind w:firstLine="709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B94"/>
    <w:pPr>
      <w:keepNext/>
      <w:keepLines/>
      <w:ind w:firstLine="709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B94"/>
    <w:pPr>
      <w:keepNext/>
      <w:keepLines/>
      <w:ind w:firstLine="709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EE3C39"/>
    <w:rPr>
      <w:rFonts w:ascii="Arial" w:hAnsi="Arial"/>
      <w:sz w:val="28"/>
    </w:rPr>
  </w:style>
  <w:style w:type="table" w:styleId="a3">
    <w:name w:val="Table Grid"/>
    <w:basedOn w:val="a1"/>
    <w:uiPriority w:val="3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uiPriority w:val="99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character" w:customStyle="1" w:styleId="a8">
    <w:name w:val="Нижний колонтитул Знак"/>
    <w:link w:val="a7"/>
    <w:uiPriority w:val="99"/>
    <w:rsid w:val="00CF3732"/>
    <w:rPr>
      <w:sz w:val="28"/>
      <w:szCs w:val="24"/>
      <w:lang w:val="en-US"/>
    </w:rPr>
  </w:style>
  <w:style w:type="paragraph" w:styleId="a9">
    <w:name w:val="Title"/>
    <w:basedOn w:val="a"/>
    <w:link w:val="aa"/>
    <w:uiPriority w:val="10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uiPriority w:val="10"/>
    <w:rsid w:val="00814EED"/>
    <w:rPr>
      <w:rFonts w:ascii="Saloon" w:hAnsi="Saloon"/>
      <w:spacing w:val="30"/>
      <w:sz w:val="4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3">
    <w:name w:val="Основной текст с отступом 2 Знак"/>
    <w:link w:val="22"/>
    <w:rsid w:val="00D1728F"/>
    <w:rPr>
      <w:sz w:val="24"/>
    </w:rPr>
  </w:style>
  <w:style w:type="paragraph" w:styleId="ab">
    <w:name w:val="Balloon Text"/>
    <w:basedOn w:val="a"/>
    <w:link w:val="ac"/>
    <w:uiPriority w:val="99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4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paragraph" w:styleId="24">
    <w:name w:val="Body Text 2"/>
    <w:basedOn w:val="a"/>
    <w:link w:val="25"/>
    <w:rsid w:val="00F61C94"/>
    <w:pPr>
      <w:spacing w:after="120" w:line="480" w:lineRule="auto"/>
    </w:pPr>
  </w:style>
  <w:style w:type="character" w:customStyle="1" w:styleId="25">
    <w:name w:val="Основной текст 2 Знак"/>
    <w:link w:val="24"/>
    <w:rsid w:val="00F61C94"/>
    <w:rPr>
      <w:sz w:val="28"/>
      <w:szCs w:val="24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sid w:val="00685B94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85B9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685B94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8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685B94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685B94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685B94"/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685B94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685B94"/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</w:rPr>
  </w:style>
  <w:style w:type="character" w:customStyle="1" w:styleId="afc">
    <w:name w:val="Подзаголовок Знак"/>
    <w:basedOn w:val="a0"/>
    <w:link w:val="afd"/>
    <w:uiPriority w:val="11"/>
    <w:rsid w:val="00685B94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paragraph" w:styleId="afd">
    <w:name w:val="Subtitle"/>
    <w:basedOn w:val="a"/>
    <w:next w:val="a"/>
    <w:link w:val="afc"/>
    <w:uiPriority w:val="11"/>
    <w:qFormat/>
    <w:rsid w:val="00685B94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</w:rPr>
  </w:style>
  <w:style w:type="character" w:customStyle="1" w:styleId="26">
    <w:name w:val="Цитата 2 Знак"/>
    <w:basedOn w:val="a0"/>
    <w:link w:val="27"/>
    <w:uiPriority w:val="29"/>
    <w:rsid w:val="00685B94"/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</w:rPr>
  </w:style>
  <w:style w:type="paragraph" w:styleId="27">
    <w:name w:val="Quote"/>
    <w:basedOn w:val="a"/>
    <w:next w:val="a"/>
    <w:link w:val="26"/>
    <w:uiPriority w:val="29"/>
    <w:qFormat/>
    <w:rsid w:val="00685B94"/>
    <w:pPr>
      <w:spacing w:before="160" w:after="160"/>
      <w:ind w:firstLine="709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</w:rPr>
  </w:style>
  <w:style w:type="character" w:customStyle="1" w:styleId="afe">
    <w:name w:val="Выделенная цитата Знак"/>
    <w:basedOn w:val="a0"/>
    <w:link w:val="aff"/>
    <w:uiPriority w:val="30"/>
    <w:rsid w:val="00685B94"/>
    <w:rPr>
      <w:rFonts w:eastAsiaTheme="minorHAnsi" w:cstheme="minorBidi"/>
      <w:i/>
      <w:iCs/>
      <w:color w:val="365F91" w:themeColor="accent1" w:themeShade="BF"/>
      <w:kern w:val="2"/>
      <w:sz w:val="28"/>
      <w:szCs w:val="22"/>
      <w:lang w:eastAsia="en-US"/>
    </w:rPr>
  </w:style>
  <w:style w:type="paragraph" w:styleId="aff">
    <w:name w:val="Intense Quote"/>
    <w:basedOn w:val="a"/>
    <w:next w:val="a"/>
    <w:link w:val="afe"/>
    <w:uiPriority w:val="30"/>
    <w:qFormat/>
    <w:rsid w:val="00685B9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 w:firstLine="709"/>
      <w:jc w:val="center"/>
    </w:pPr>
    <w:rPr>
      <w:rFonts w:eastAsiaTheme="minorHAnsi" w:cstheme="minorBidi"/>
      <w:i/>
      <w:iCs/>
      <w:color w:val="365F91" w:themeColor="accent1" w:themeShade="BF"/>
      <w:kern w:val="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186&amp;n=135245&amp;dst=100445" TargetMode="External"/><Relationship Id="rId18" Type="http://schemas.openxmlformats.org/officeDocument/2006/relationships/hyperlink" Target="https://login.consultant.ru/link/?req=doc&amp;base=LAW&amp;n=453967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35246&amp;dst=100187" TargetMode="External"/><Relationship Id="rId17" Type="http://schemas.openxmlformats.org/officeDocument/2006/relationships/hyperlink" Target="https://login.consultant.ru/link/?req=doc&amp;base=LAW&amp;n=47071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071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35246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35246&amp;dst=10030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3314" TargetMode="External"/><Relationship Id="rId19" Type="http://schemas.openxmlformats.org/officeDocument/2006/relationships/hyperlink" Target="https://login.consultant.ru/link/?req=doc&amp;base=LAW&amp;n=46597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0408F-451A-4AAB-9826-5FC8F245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8364</Words>
  <Characters>47680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2025-04-09T09:16:00Z</cp:lastPrinted>
  <dcterms:created xsi:type="dcterms:W3CDTF">2025-04-11T07:27:00Z</dcterms:created>
  <dcterms:modified xsi:type="dcterms:W3CDTF">2025-04-14T07:52:00Z</dcterms:modified>
</cp:coreProperties>
</file>