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5E5" w:rsidRDefault="005B05E5" w:rsidP="00ED3380">
      <w:pPr>
        <w:spacing w:line="276" w:lineRule="auto"/>
        <w:ind w:firstLine="567"/>
        <w:rPr>
          <w:sz w:val="24"/>
          <w:szCs w:val="24"/>
          <w:highlight w:val="yellow"/>
        </w:rPr>
      </w:pPr>
      <w:r w:rsidRPr="005B05E5">
        <w:rPr>
          <w:sz w:val="24"/>
          <w:szCs w:val="24"/>
        </w:rPr>
        <w:t>За январь-декабрь 2021 года итоги коммерческой деятельности малого и среднего бизнеса г. Ростова-на-Дону свидетельствуют о сохранении положительных значений оборота по сравнению с показателями предыдущего года. Суммарный оборот малых и средних предприятий и организаций  города составил 544636,9 млн. рублей, увеличившись к уровню 2020 года на 22,5 процента. При этом оборот малых предприятий увеличился на 17,9 процента, составив за анализируемый год  406751,0 млн. рублей, оборот средних предприятий возрос интенсивнее на 38,1 процента, и составил 137885,9 млн. рублей.</w:t>
      </w:r>
    </w:p>
    <w:p w:rsidR="005B05E5" w:rsidRDefault="005B05E5" w:rsidP="005B05E5">
      <w:pPr>
        <w:spacing w:line="276" w:lineRule="auto"/>
        <w:ind w:firstLine="567"/>
        <w:rPr>
          <w:sz w:val="24"/>
          <w:szCs w:val="24"/>
        </w:rPr>
      </w:pPr>
      <w:r w:rsidRPr="0060216E">
        <w:rPr>
          <w:sz w:val="24"/>
          <w:szCs w:val="24"/>
        </w:rPr>
        <w:t>В большей степени на сложившийся результат повлияло восстановление потребительской активности населения и как следствие, увеличение оборота организаций оптово - розничной торговли</w:t>
      </w:r>
      <w:r>
        <w:rPr>
          <w:sz w:val="24"/>
          <w:szCs w:val="24"/>
        </w:rPr>
        <w:t xml:space="preserve"> малого и среднего бизнеса (на 11,0% и 35,9% соответственно к уровню января-декабря 2020 года)</w:t>
      </w:r>
      <w:r w:rsidRPr="0060216E">
        <w:rPr>
          <w:sz w:val="24"/>
          <w:szCs w:val="24"/>
        </w:rPr>
        <w:t>.</w:t>
      </w:r>
    </w:p>
    <w:p w:rsidR="005B05E5" w:rsidRDefault="005B05E5" w:rsidP="005B05E5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 этом, если оборот средних торговых организаций вырос главным образом </w:t>
      </w:r>
      <w:r w:rsidRPr="00CE5EAD">
        <w:rPr>
          <w:sz w:val="24"/>
          <w:szCs w:val="24"/>
        </w:rPr>
        <w:t xml:space="preserve">за счет предприятий, занимающихся </w:t>
      </w:r>
      <w:r w:rsidRPr="007034DA">
        <w:rPr>
          <w:sz w:val="24"/>
          <w:szCs w:val="24"/>
        </w:rPr>
        <w:t xml:space="preserve">оптовой торговлей </w:t>
      </w:r>
      <w:r>
        <w:rPr>
          <w:sz w:val="24"/>
          <w:szCs w:val="24"/>
        </w:rPr>
        <w:t xml:space="preserve">пищевыми маслами, </w:t>
      </w:r>
      <w:r w:rsidRPr="005E3438">
        <w:rPr>
          <w:sz w:val="24"/>
          <w:szCs w:val="24"/>
        </w:rPr>
        <w:t>табачными изделиями</w:t>
      </w:r>
      <w:r>
        <w:rPr>
          <w:sz w:val="24"/>
          <w:szCs w:val="24"/>
        </w:rPr>
        <w:t>,</w:t>
      </w:r>
      <w:r w:rsidRPr="005E34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легковыми автомобилями, прочими </w:t>
      </w:r>
      <w:r w:rsidRPr="00130643">
        <w:rPr>
          <w:sz w:val="24"/>
          <w:szCs w:val="24"/>
        </w:rPr>
        <w:t>машинами, оборудованием,</w:t>
      </w:r>
      <w:r>
        <w:rPr>
          <w:sz w:val="24"/>
          <w:szCs w:val="24"/>
        </w:rPr>
        <w:t xml:space="preserve"> </w:t>
      </w:r>
      <w:r w:rsidRPr="00130643">
        <w:rPr>
          <w:sz w:val="24"/>
          <w:szCs w:val="24"/>
        </w:rPr>
        <w:t>то</w:t>
      </w:r>
      <w:r>
        <w:rPr>
          <w:sz w:val="24"/>
          <w:szCs w:val="24"/>
        </w:rPr>
        <w:t xml:space="preserve"> на малых предприятиях -</w:t>
      </w:r>
      <w:r w:rsidRPr="00AE7A49">
        <w:rPr>
          <w:sz w:val="24"/>
          <w:szCs w:val="24"/>
        </w:rPr>
        <w:t xml:space="preserve"> оптов</w:t>
      </w:r>
      <w:r>
        <w:rPr>
          <w:sz w:val="24"/>
          <w:szCs w:val="24"/>
        </w:rPr>
        <w:t>ой</w:t>
      </w:r>
      <w:r w:rsidRPr="00AE7A49">
        <w:rPr>
          <w:sz w:val="24"/>
          <w:szCs w:val="24"/>
        </w:rPr>
        <w:t xml:space="preserve"> торговл</w:t>
      </w:r>
      <w:r>
        <w:rPr>
          <w:sz w:val="24"/>
          <w:szCs w:val="24"/>
        </w:rPr>
        <w:t>ей</w:t>
      </w:r>
      <w:r w:rsidRPr="00AE7A49">
        <w:rPr>
          <w:sz w:val="24"/>
          <w:szCs w:val="24"/>
        </w:rPr>
        <w:t xml:space="preserve"> пищевыми продуктами, твердым, жидким, газообразным топливом, неспециализированной оптовой торговлей и розничной торговлей прочей в неспециализированных магазинах.</w:t>
      </w:r>
      <w:r w:rsidRPr="00EB3CED">
        <w:rPr>
          <w:color w:val="FF0000"/>
          <w:sz w:val="24"/>
          <w:szCs w:val="24"/>
        </w:rPr>
        <w:t xml:space="preserve"> </w:t>
      </w:r>
      <w:r w:rsidRPr="00AF3F9A">
        <w:rPr>
          <w:sz w:val="24"/>
          <w:szCs w:val="24"/>
        </w:rPr>
        <w:t xml:space="preserve">Кроме того, </w:t>
      </w:r>
      <w:r>
        <w:rPr>
          <w:sz w:val="24"/>
          <w:szCs w:val="24"/>
        </w:rPr>
        <w:t>вырос</w:t>
      </w:r>
      <w:r w:rsidRPr="00AF3F9A">
        <w:rPr>
          <w:sz w:val="24"/>
          <w:szCs w:val="24"/>
        </w:rPr>
        <w:t xml:space="preserve"> оборот малых и средних промышленных предприятий (на 33,7% и 30,3% соответственно). Наращивание оборота малых промышленных предприятий связано, прежде всего, с его увеличением на предприятиях, выпускающих резиновые и пластмассовые изделия, металлоизделия и кузова для автотранспортных средств, прицепы и полуприцепы,</w:t>
      </w:r>
      <w:r>
        <w:rPr>
          <w:color w:val="FF0000"/>
          <w:sz w:val="24"/>
          <w:szCs w:val="24"/>
        </w:rPr>
        <w:t xml:space="preserve"> </w:t>
      </w:r>
      <w:r w:rsidRPr="008665EE">
        <w:rPr>
          <w:sz w:val="24"/>
          <w:szCs w:val="24"/>
        </w:rPr>
        <w:t>на средних предприятиях – занимающихся производством электрооборудования, прочих машин и оборудования общего назначения</w:t>
      </w:r>
      <w:r>
        <w:rPr>
          <w:sz w:val="24"/>
          <w:szCs w:val="24"/>
        </w:rPr>
        <w:t>, готовых металлических изделий</w:t>
      </w:r>
      <w:r w:rsidRPr="008665EE">
        <w:rPr>
          <w:sz w:val="24"/>
          <w:szCs w:val="24"/>
        </w:rPr>
        <w:t>.</w:t>
      </w:r>
    </w:p>
    <w:p w:rsidR="00ED3380" w:rsidRPr="005B05E5" w:rsidRDefault="00ED3380" w:rsidP="00ED338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  <w:highlight w:val="yellow"/>
        </w:rPr>
      </w:pPr>
    </w:p>
    <w:p w:rsidR="005B05E5" w:rsidRPr="005B05E5" w:rsidRDefault="005B05E5" w:rsidP="005B05E5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bookmarkStart w:id="0" w:name="_GoBack"/>
      <w:bookmarkEnd w:id="0"/>
      <w:r w:rsidRPr="005B05E5">
        <w:rPr>
          <w:b/>
          <w:sz w:val="24"/>
          <w:szCs w:val="24"/>
        </w:rPr>
        <w:t>Оборот малых (без микропредприятий) г. Ростова-на-Дону в разрезе основных видов экономической деятельности</w:t>
      </w:r>
    </w:p>
    <w:p w:rsidR="005B05E5" w:rsidRPr="005B05E5" w:rsidRDefault="005B05E5" w:rsidP="005B05E5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5B05E5" w:rsidRPr="005B05E5" w:rsidTr="00DC29C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2021 года</w:t>
            </w:r>
            <w:r w:rsidRPr="005B05E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B05E5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 2020 года</w:t>
            </w:r>
            <w:r w:rsidRPr="005B05E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B05E5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5B05E5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5B05E5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5B05E5" w:rsidRPr="005B05E5" w:rsidTr="00DC29C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5B05E5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406751,0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344863,2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117,9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5B05E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42783,6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31997,0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133,7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из него:</w:t>
            </w:r>
          </w:p>
          <w:p w:rsidR="005B05E5" w:rsidRPr="005B05E5" w:rsidRDefault="005B05E5" w:rsidP="005B05E5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37522,8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28278,0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132,7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5B05E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31440,9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21162,7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148,6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268129,0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241557,7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111,0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15781,7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12539,5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125,9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6652,1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4113,6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в 1,6 р.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7588,6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5981,2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126,9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9293,1</w:t>
            </w:r>
          </w:p>
        </w:tc>
        <w:tc>
          <w:tcPr>
            <w:tcW w:w="1843" w:type="dxa"/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9844,7</w:t>
            </w:r>
          </w:p>
        </w:tc>
        <w:tc>
          <w:tcPr>
            <w:tcW w:w="2410" w:type="dxa"/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94,4</w:t>
            </w:r>
          </w:p>
        </w:tc>
      </w:tr>
      <w:tr w:rsidR="005B05E5" w:rsidRPr="005B05E5" w:rsidTr="00DC29C9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25082,0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17666,8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142,0</w:t>
            </w:r>
          </w:p>
        </w:tc>
      </w:tr>
    </w:tbl>
    <w:p w:rsidR="005B05E5" w:rsidRPr="005B05E5" w:rsidRDefault="005B05E5" w:rsidP="005B05E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5B05E5">
        <w:rPr>
          <w:sz w:val="20"/>
          <w:vertAlign w:val="superscript"/>
        </w:rPr>
        <w:t xml:space="preserve">1   </w:t>
      </w:r>
      <w:r w:rsidRPr="005B05E5">
        <w:rPr>
          <w:rFonts w:cs="Arial"/>
          <w:sz w:val="18"/>
          <w:szCs w:val="18"/>
        </w:rPr>
        <w:t xml:space="preserve">По данным текущих наблюдений.   </w:t>
      </w:r>
    </w:p>
    <w:p w:rsidR="005B05E5" w:rsidRPr="005B05E5" w:rsidRDefault="005B05E5" w:rsidP="005B05E5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5B05E5">
        <w:rPr>
          <w:rFonts w:cs="Arial"/>
          <w:i/>
          <w:sz w:val="18"/>
          <w:szCs w:val="18"/>
          <w:vertAlign w:val="superscript"/>
        </w:rPr>
        <w:t xml:space="preserve">2 </w:t>
      </w:r>
      <w:r w:rsidRPr="005B05E5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микропредприятий). </w:t>
      </w:r>
    </w:p>
    <w:p w:rsidR="00ED3380" w:rsidRPr="005B05E5" w:rsidRDefault="00ED3380" w:rsidP="00ED3380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  <w:highlight w:val="yellow"/>
        </w:rPr>
      </w:pPr>
    </w:p>
    <w:p w:rsidR="00ED3380" w:rsidRPr="005B05E5" w:rsidRDefault="00ED3380" w:rsidP="00ED3380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  <w:highlight w:val="yellow"/>
        </w:rPr>
      </w:pPr>
    </w:p>
    <w:p w:rsidR="005B05E5" w:rsidRPr="005B05E5" w:rsidRDefault="005B05E5" w:rsidP="005B05E5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5B05E5">
        <w:rPr>
          <w:sz w:val="24"/>
          <w:szCs w:val="24"/>
        </w:rPr>
        <w:t>Выше уровня прошлого года сложился оборот малых и средних предприятий строительной сферы (на 48,6% и 28,9% соответственно), оказывающих услуги по операциям с недвижимым имуществом (на 26,9% и в 1,7 раза соответственно).</w:t>
      </w:r>
    </w:p>
    <w:p w:rsidR="005B05E5" w:rsidRDefault="005B05E5" w:rsidP="005B05E5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5B05E5">
        <w:rPr>
          <w:sz w:val="24"/>
          <w:szCs w:val="24"/>
        </w:rPr>
        <w:t>В то же время сократился оборот малых предприятий, занимающихся профессиональной, научной и технической деятельностью, в связи с демографией ряда организаций в 2021 году из «малых» в «крупные».</w:t>
      </w:r>
    </w:p>
    <w:p w:rsidR="00ED3380" w:rsidRPr="005B05E5" w:rsidRDefault="005B05E5" w:rsidP="00ED3380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highlight w:val="yellow"/>
          <w:lang w:eastAsia="en-US"/>
        </w:rPr>
      </w:pPr>
      <w:r w:rsidRPr="005B05E5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Около 65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16,7 процента оборота средних предприятий и 10,5 процента оборота малых предприятий.  Больше 7 процентов в структуре оборота  малых и 5,6 процента средних предприятий приходится на организации, осуществляющие строительную деятельность.</w:t>
      </w:r>
    </w:p>
    <w:p w:rsidR="00ED3380" w:rsidRPr="005B05E5" w:rsidRDefault="00ED3380" w:rsidP="00ED3380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highlight w:val="yellow"/>
          <w:lang w:eastAsia="en-US"/>
        </w:rPr>
      </w:pPr>
    </w:p>
    <w:p w:rsidR="005B05E5" w:rsidRPr="005B05E5" w:rsidRDefault="005B05E5" w:rsidP="005B05E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5B05E5">
        <w:rPr>
          <w:b/>
          <w:sz w:val="24"/>
          <w:szCs w:val="24"/>
        </w:rPr>
        <w:t>Оборот малых (без микропредприятий) и</w:t>
      </w:r>
    </w:p>
    <w:p w:rsidR="005B05E5" w:rsidRPr="005B05E5" w:rsidRDefault="005B05E5" w:rsidP="005B05E5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5B05E5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5B05E5" w:rsidRPr="005B05E5" w:rsidRDefault="005B05E5" w:rsidP="005B05E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B05E5">
        <w:rPr>
          <w:b/>
          <w:sz w:val="24"/>
          <w:szCs w:val="24"/>
        </w:rPr>
        <w:t>экономической деятельности за январь-декабрь 2021 года</w:t>
      </w:r>
    </w:p>
    <w:p w:rsidR="005B05E5" w:rsidRPr="005B05E5" w:rsidRDefault="005B05E5" w:rsidP="005B05E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5B05E5">
        <w:rPr>
          <w:b/>
          <w:sz w:val="24"/>
          <w:szCs w:val="24"/>
        </w:rPr>
        <w:tab/>
      </w:r>
      <w:r w:rsidRPr="005B05E5">
        <w:rPr>
          <w:sz w:val="24"/>
          <w:szCs w:val="24"/>
        </w:rPr>
        <w:t xml:space="preserve">         (в процентах)</w:t>
      </w:r>
    </w:p>
    <w:p w:rsidR="005B05E5" w:rsidRPr="005B05E5" w:rsidRDefault="005B05E5" w:rsidP="005B05E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:rsidR="005B05E5" w:rsidRPr="005B05E5" w:rsidRDefault="005B05E5" w:rsidP="005B05E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:rsidR="00ED3380" w:rsidRPr="005B05E5" w:rsidRDefault="005B05E5" w:rsidP="005B05E5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highlight w:val="yellow"/>
        </w:rPr>
      </w:pPr>
      <w:r w:rsidRPr="005B05E5">
        <w:rPr>
          <w:rFonts w:ascii="Arial" w:hAnsi="Arial" w:cs="Arial"/>
          <w:noProof/>
          <w:color w:val="FF0000"/>
          <w:sz w:val="20"/>
        </w:rPr>
        <w:drawing>
          <wp:inline distT="0" distB="0" distL="0" distR="0">
            <wp:extent cx="5715000" cy="33147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3380" w:rsidRPr="005B05E5" w:rsidRDefault="00ED3380" w:rsidP="00ED3380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highlight w:val="yellow"/>
        </w:rPr>
      </w:pPr>
    </w:p>
    <w:p w:rsidR="005B05E5" w:rsidRDefault="005B05E5" w:rsidP="005B05E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5B05E5" w:rsidRPr="005B05E5" w:rsidRDefault="005B05E5" w:rsidP="005B05E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B05E5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5B05E5" w:rsidRPr="005B05E5" w:rsidRDefault="005B05E5" w:rsidP="005B05E5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5B05E5" w:rsidRPr="005B05E5" w:rsidTr="00DC29C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Январь-декабрь 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2021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 2020 года,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5B05E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B05E5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5B05E5" w:rsidRPr="005B05E5" w:rsidTr="00DC29C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5B05E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137885,9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99838,6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138,1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5B05E5">
              <w:rPr>
                <w:rFonts w:cs="Arial"/>
                <w:b/>
                <w:i/>
                <w:sz w:val="18"/>
                <w:szCs w:val="18"/>
              </w:rPr>
              <w:lastRenderedPageBreak/>
              <w:t>в том числе организации с основным видом деятельности: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23072,6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17704,3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130,3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из него:</w:t>
            </w:r>
          </w:p>
          <w:p w:rsidR="005B05E5" w:rsidRPr="005B05E5" w:rsidRDefault="005B05E5" w:rsidP="005B05E5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21521,7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17244,1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124,8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5B05E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7659,6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5941,4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128,9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83374,6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61328,4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135,9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3612,8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4946,2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73,0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5B05E5">
              <w:rPr>
                <w:sz w:val="20"/>
              </w:rPr>
              <w:t>х</w:t>
            </w:r>
            <w:r w:rsidRPr="005B05E5">
              <w:rPr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-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4476,0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2636,2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в 1,7 р.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2789,9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1330,1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в 2,1 р.</w:t>
            </w:r>
          </w:p>
        </w:tc>
      </w:tr>
      <w:tr w:rsidR="005B05E5" w:rsidRPr="005B05E5" w:rsidTr="00DC29C9">
        <w:tc>
          <w:tcPr>
            <w:tcW w:w="3369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12755,7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5952,0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в 2,1 р.</w:t>
            </w:r>
          </w:p>
        </w:tc>
      </w:tr>
    </w:tbl>
    <w:p w:rsidR="005B05E5" w:rsidRPr="005B05E5" w:rsidRDefault="005B05E5" w:rsidP="005B05E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5B05E5">
        <w:rPr>
          <w:sz w:val="20"/>
          <w:vertAlign w:val="superscript"/>
        </w:rPr>
        <w:t>______________________________________________________________</w:t>
      </w:r>
    </w:p>
    <w:p w:rsidR="005B05E5" w:rsidRPr="005B05E5" w:rsidRDefault="005B05E5" w:rsidP="005B05E5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5B05E5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5B05E5">
        <w:rPr>
          <w:rFonts w:cs="Arial"/>
          <w:sz w:val="18"/>
          <w:szCs w:val="18"/>
          <w:lang w:eastAsia="x-none"/>
        </w:rPr>
        <w:t>.</w:t>
      </w:r>
    </w:p>
    <w:p w:rsidR="005B05E5" w:rsidRPr="005B05E5" w:rsidRDefault="005B05E5" w:rsidP="005B05E5">
      <w:pPr>
        <w:ind w:hanging="218"/>
        <w:rPr>
          <w:sz w:val="18"/>
          <w:szCs w:val="18"/>
        </w:rPr>
      </w:pPr>
      <w:r w:rsidRPr="005B05E5">
        <w:rPr>
          <w:sz w:val="18"/>
          <w:szCs w:val="18"/>
          <w:vertAlign w:val="superscript"/>
        </w:rPr>
        <w:t xml:space="preserve">       </w:t>
      </w:r>
    </w:p>
    <w:p w:rsidR="00A54CC3" w:rsidRPr="005B05E5" w:rsidRDefault="00A54CC3" w:rsidP="00ED3380">
      <w:pPr>
        <w:rPr>
          <w:highlight w:val="yellow"/>
        </w:rPr>
      </w:pPr>
    </w:p>
    <w:p w:rsidR="00ED3380" w:rsidRPr="005B05E5" w:rsidRDefault="00ED3380" w:rsidP="00ED3380">
      <w:pPr>
        <w:rPr>
          <w:highlight w:val="yellow"/>
        </w:rPr>
      </w:pPr>
    </w:p>
    <w:p w:rsidR="005B05E5" w:rsidRPr="005B05E5" w:rsidRDefault="005B05E5" w:rsidP="005B05E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B05E5">
        <w:rPr>
          <w:b/>
          <w:sz w:val="24"/>
          <w:szCs w:val="24"/>
        </w:rPr>
        <w:t>Оценка оборота  микропредприятий г. Ростова-на-Дону в разрезе основных видов экономической деятельности</w:t>
      </w:r>
    </w:p>
    <w:p w:rsidR="005B05E5" w:rsidRPr="005B05E5" w:rsidRDefault="005B05E5" w:rsidP="005B05E5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5B05E5" w:rsidRPr="005B05E5" w:rsidTr="00DC29C9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 2021 года</w:t>
            </w:r>
            <w:r w:rsidRPr="005B05E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B05E5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5B05E5" w:rsidRPr="005B05E5" w:rsidRDefault="005B05E5" w:rsidP="005B05E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eastAsia="x-none"/>
              </w:rPr>
              <w:t xml:space="preserve"> 2020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B05E5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5B05E5" w:rsidRPr="005B05E5" w:rsidTr="00DC29C9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5B05E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293647,0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258523,7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113,6</w:t>
            </w:r>
          </w:p>
        </w:tc>
      </w:tr>
      <w:tr w:rsidR="005B05E5" w:rsidRPr="005B05E5" w:rsidTr="00DC29C9">
        <w:trPr>
          <w:trHeight w:val="150"/>
        </w:trPr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5B05E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23172,0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18453,4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125,6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sz w:val="20"/>
              </w:rPr>
            </w:pPr>
            <w:r w:rsidRPr="005B05E5">
              <w:rPr>
                <w:rFonts w:cs="Arial"/>
                <w:sz w:val="20"/>
              </w:rPr>
              <w:t>из него:</w:t>
            </w:r>
          </w:p>
          <w:p w:rsidR="005B05E5" w:rsidRPr="005B05E5" w:rsidRDefault="005B05E5" w:rsidP="005B05E5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20415,3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15663,9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130,3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5B05E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10407,7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11568,4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90,0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213576,1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176630,8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120,9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12219,2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15001,3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81,5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2930,8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5712,6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51,3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8704,8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8637,9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100,8</w:t>
            </w:r>
          </w:p>
        </w:tc>
      </w:tr>
      <w:tr w:rsidR="005B05E5" w:rsidRPr="005B05E5" w:rsidTr="00DC29C9">
        <w:tc>
          <w:tcPr>
            <w:tcW w:w="3510" w:type="dxa"/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10066,1</w:t>
            </w:r>
          </w:p>
        </w:tc>
        <w:tc>
          <w:tcPr>
            <w:tcW w:w="1843" w:type="dxa"/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9137,7</w:t>
            </w:r>
          </w:p>
        </w:tc>
        <w:tc>
          <w:tcPr>
            <w:tcW w:w="2268" w:type="dxa"/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110,2</w:t>
            </w:r>
          </w:p>
        </w:tc>
      </w:tr>
      <w:tr w:rsidR="005B05E5" w:rsidRPr="005B05E5" w:rsidTr="00DC29C9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B05E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12570,3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13381,6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B05E5" w:rsidRPr="005B05E5" w:rsidRDefault="005B05E5" w:rsidP="005B05E5">
            <w:pPr>
              <w:spacing w:line="360" w:lineRule="auto"/>
              <w:jc w:val="center"/>
              <w:rPr>
                <w:sz w:val="20"/>
              </w:rPr>
            </w:pPr>
            <w:r w:rsidRPr="005B05E5">
              <w:rPr>
                <w:sz w:val="20"/>
              </w:rPr>
              <w:t>93,9</w:t>
            </w:r>
          </w:p>
        </w:tc>
      </w:tr>
    </w:tbl>
    <w:p w:rsidR="005B05E5" w:rsidRPr="005B05E5" w:rsidRDefault="005B05E5" w:rsidP="005B05E5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5B05E5">
        <w:rPr>
          <w:sz w:val="18"/>
          <w:szCs w:val="18"/>
          <w:vertAlign w:val="superscript"/>
        </w:rPr>
        <w:t xml:space="preserve">1  </w:t>
      </w:r>
      <w:r w:rsidRPr="005B05E5">
        <w:rPr>
          <w:sz w:val="18"/>
          <w:szCs w:val="18"/>
        </w:rPr>
        <w:t>Предварительные данные</w:t>
      </w:r>
    </w:p>
    <w:p w:rsidR="00ED3380" w:rsidRPr="005B05E5" w:rsidRDefault="00ED3380" w:rsidP="00ED3380">
      <w:pPr>
        <w:widowControl w:val="0"/>
        <w:autoSpaceDE w:val="0"/>
        <w:autoSpaceDN w:val="0"/>
        <w:adjustRightInd w:val="0"/>
        <w:ind w:right="800" w:firstLine="708"/>
        <w:rPr>
          <w:color w:val="FF0000"/>
          <w:highlight w:val="yellow"/>
        </w:rPr>
      </w:pPr>
    </w:p>
    <w:p w:rsidR="00ED3380" w:rsidRPr="005B05E5" w:rsidRDefault="00ED3380" w:rsidP="00ED3380">
      <w:pPr>
        <w:rPr>
          <w:highlight w:val="yellow"/>
        </w:rPr>
      </w:pPr>
    </w:p>
    <w:p w:rsidR="00ED3380" w:rsidRPr="005B05E5" w:rsidRDefault="00ED3380" w:rsidP="00ED3380">
      <w:pPr>
        <w:rPr>
          <w:highlight w:val="yellow"/>
        </w:rPr>
      </w:pPr>
    </w:p>
    <w:p w:rsidR="00ED3380" w:rsidRPr="005B05E5" w:rsidRDefault="00ED3380" w:rsidP="00ED3380">
      <w:pPr>
        <w:rPr>
          <w:highlight w:val="yellow"/>
        </w:rPr>
      </w:pPr>
    </w:p>
    <w:p w:rsidR="00ED3380" w:rsidRPr="005B05E5" w:rsidRDefault="00ED3380" w:rsidP="00ED3380">
      <w:pPr>
        <w:rPr>
          <w:highlight w:val="yellow"/>
        </w:rPr>
      </w:pPr>
    </w:p>
    <w:p w:rsidR="005B05E5" w:rsidRPr="005B05E5" w:rsidRDefault="005B05E5" w:rsidP="005B05E5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</w:rPr>
      </w:pPr>
      <w:r w:rsidRPr="005B05E5">
        <w:rPr>
          <w:rFonts w:cs="Arial"/>
          <w:bCs/>
          <w:sz w:val="24"/>
          <w:szCs w:val="24"/>
        </w:rPr>
        <w:t xml:space="preserve">По итогам 2021 года оборот индивидуальных предпринимателей г. Ростова-на-Дону составил, по предварительной экспериментальной оценке, 265 246,1 млн. рублей. </w:t>
      </w:r>
      <w:r w:rsidRPr="005B05E5">
        <w:rPr>
          <w:rFonts w:cs="Arial"/>
          <w:bCs/>
          <w:sz w:val="24"/>
          <w:szCs w:val="24"/>
        </w:rPr>
        <w:lastRenderedPageBreak/>
        <w:t xml:space="preserve">В расчете на 1 экономически-активного индивидуального предпринимателя оборот в среднем сложился в размере 7,4 млн. рублей. </w:t>
      </w:r>
    </w:p>
    <w:p w:rsidR="00ED3380" w:rsidRDefault="005B05E5" w:rsidP="005B05E5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</w:rPr>
      </w:pPr>
      <w:r w:rsidRPr="005B05E5">
        <w:rPr>
          <w:rFonts w:cs="Arial"/>
          <w:bCs/>
          <w:sz w:val="24"/>
          <w:szCs w:val="24"/>
        </w:rPr>
        <w:t>Большая часть оборота индивидуальных предпринимателей города</w:t>
      </w:r>
      <w:r>
        <w:rPr>
          <w:rFonts w:cs="Arial"/>
          <w:bCs/>
          <w:sz w:val="24"/>
          <w:szCs w:val="24"/>
        </w:rPr>
        <w:t xml:space="preserve"> формируется в торговом секторе</w:t>
      </w:r>
      <w:r w:rsidRPr="005B05E5">
        <w:rPr>
          <w:rFonts w:cs="Arial"/>
          <w:bCs/>
          <w:sz w:val="24"/>
          <w:szCs w:val="24"/>
        </w:rPr>
        <w:t xml:space="preserve"> – по итогам 2021 года порядка 149 158,2 млн. рублей или 56,2 процента от совокупного оборота ИП по г. Ростову-на-Дону. На следующем месте по объему оборота идут индивидуальные предприниматели, занятые в сфере операций с недвижимым имуществом (24461,9 млн. рублей или 9,2%). 6,5 процента суммарного оборота индивидуальных предпринимателей города приходится на ИП обрабатывающих производств, 5,7 процента -  занимающихся деятельностью профессиональной, научной и технической, 5,0 процента - оказывающих услуги по транспортировке и хранению. В целом на данные 5 сфер экономики приходится 82,6 процента оборота индивидуальных предпринимателей  г. Ростова-на-Дону.</w:t>
      </w:r>
    </w:p>
    <w:p w:rsidR="005B05E5" w:rsidRPr="005B05E5" w:rsidRDefault="005B05E5" w:rsidP="005B05E5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highlight w:val="yellow"/>
        </w:rPr>
      </w:pPr>
    </w:p>
    <w:p w:rsidR="005B05E5" w:rsidRPr="005B05E5" w:rsidRDefault="005B05E5" w:rsidP="005B05E5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4"/>
          <w:szCs w:val="24"/>
        </w:rPr>
      </w:pPr>
      <w:r w:rsidRPr="005B05E5">
        <w:rPr>
          <w:rFonts w:cs="Arial"/>
          <w:b/>
          <w:bCs/>
          <w:sz w:val="24"/>
          <w:szCs w:val="24"/>
        </w:rPr>
        <w:t>Оборот индивидуальных предпринимателей г. Ростова-на-Дону в разрезе видов</w:t>
      </w:r>
      <w:r w:rsidRPr="005B05E5">
        <w:rPr>
          <w:rFonts w:cs="Arial"/>
          <w:b/>
          <w:sz w:val="24"/>
          <w:szCs w:val="24"/>
        </w:rPr>
        <w:t xml:space="preserve"> экономической деятельности</w:t>
      </w:r>
    </w:p>
    <w:p w:rsidR="005B05E5" w:rsidRPr="005B05E5" w:rsidRDefault="005B05E5" w:rsidP="005B05E5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4"/>
          <w:szCs w:val="24"/>
        </w:rPr>
      </w:pPr>
      <w:r w:rsidRPr="005B05E5">
        <w:rPr>
          <w:rFonts w:cs="Arial"/>
          <w:b/>
          <w:sz w:val="24"/>
          <w:szCs w:val="24"/>
        </w:rPr>
        <w:t>по итогам января-декабря 2021 года</w:t>
      </w:r>
    </w:p>
    <w:p w:rsidR="005B05E5" w:rsidRPr="005B05E5" w:rsidRDefault="005B05E5" w:rsidP="005B05E5">
      <w:pPr>
        <w:ind w:firstLine="0"/>
        <w:jc w:val="center"/>
        <w:rPr>
          <w:rFonts w:cs="Arial"/>
          <w:b/>
          <w:sz w:val="24"/>
          <w:szCs w:val="24"/>
        </w:rPr>
      </w:pPr>
      <w:r w:rsidRPr="005B05E5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5B05E5" w:rsidRPr="005B05E5" w:rsidRDefault="005B05E5" w:rsidP="005B05E5">
      <w:pPr>
        <w:ind w:firstLine="0"/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5B05E5" w:rsidRPr="005B05E5" w:rsidTr="00DC29C9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B05E5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B05E5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5B05E5" w:rsidRPr="005B05E5" w:rsidTr="00DC29C9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B05E5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B05E5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5B05E5" w:rsidRPr="005B05E5" w:rsidTr="00DC29C9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5B05E5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B05E5">
              <w:rPr>
                <w:rFonts w:cs="Arial"/>
                <w:b/>
                <w:sz w:val="24"/>
                <w:szCs w:val="24"/>
              </w:rPr>
              <w:t>265 246,1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B05E5">
              <w:rPr>
                <w:rFonts w:cs="Arial"/>
                <w:b/>
                <w:sz w:val="24"/>
                <w:szCs w:val="24"/>
              </w:rPr>
              <w:t>100,0</w:t>
            </w:r>
          </w:p>
        </w:tc>
      </w:tr>
      <w:tr w:rsidR="005B05E5" w:rsidRPr="005B05E5" w:rsidTr="00DC29C9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5B05E5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17191,9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6,5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10857,5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4,1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149158,2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56,2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13378,3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5,0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7698,2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2,9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24461,9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9,2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15092,3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5,7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9030,8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3,4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1200,4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0,5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1220,4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0,5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5147,9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1,9</w:t>
            </w:r>
          </w:p>
        </w:tc>
      </w:tr>
      <w:tr w:rsidR="005B05E5" w:rsidRPr="005B05E5" w:rsidTr="00DC2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05E5" w:rsidRPr="005B05E5" w:rsidRDefault="005B05E5" w:rsidP="005B05E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B05E5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10808,3</w:t>
            </w:r>
          </w:p>
        </w:tc>
        <w:tc>
          <w:tcPr>
            <w:tcW w:w="19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5E5" w:rsidRPr="005B05E5" w:rsidRDefault="005B05E5" w:rsidP="005B05E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B05E5">
              <w:rPr>
                <w:rFonts w:cs="Arial"/>
                <w:sz w:val="24"/>
                <w:szCs w:val="24"/>
              </w:rPr>
              <w:t>4,1</w:t>
            </w:r>
          </w:p>
        </w:tc>
      </w:tr>
    </w:tbl>
    <w:p w:rsidR="005B05E5" w:rsidRPr="005B05E5" w:rsidRDefault="005B05E5" w:rsidP="005B05E5">
      <w:pPr>
        <w:ind w:firstLine="0"/>
        <w:jc w:val="center"/>
        <w:rPr>
          <w:rFonts w:cs="Arial"/>
          <w:color w:val="FF0000"/>
          <w:sz w:val="24"/>
          <w:szCs w:val="24"/>
        </w:rPr>
      </w:pPr>
    </w:p>
    <w:p w:rsidR="005B05E5" w:rsidRPr="005B05E5" w:rsidRDefault="005B05E5" w:rsidP="005B05E5">
      <w:pPr>
        <w:ind w:firstLine="0"/>
        <w:jc w:val="left"/>
        <w:rPr>
          <w:rFonts w:cs="Arial"/>
          <w:color w:val="FF0000"/>
          <w:sz w:val="24"/>
          <w:szCs w:val="24"/>
        </w:rPr>
      </w:pPr>
    </w:p>
    <w:p w:rsidR="005B05E5" w:rsidRPr="005B05E5" w:rsidRDefault="005B05E5" w:rsidP="005B05E5">
      <w:pPr>
        <w:tabs>
          <w:tab w:val="left" w:pos="1410"/>
        </w:tabs>
        <w:ind w:firstLine="0"/>
        <w:jc w:val="left"/>
        <w:rPr>
          <w:rFonts w:ascii="Times New Roman" w:hAnsi="Times New Roman"/>
          <w:sz w:val="20"/>
        </w:rPr>
      </w:pPr>
    </w:p>
    <w:p w:rsidR="00ED3380" w:rsidRPr="00ED3380" w:rsidRDefault="00ED3380" w:rsidP="005B05E5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0"/>
        </w:rPr>
      </w:pPr>
    </w:p>
    <w:sectPr w:rsidR="00ED3380" w:rsidRPr="00ED3380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ED8" w:rsidRDefault="00E96ED8" w:rsidP="00A23098">
      <w:r>
        <w:separator/>
      </w:r>
    </w:p>
  </w:endnote>
  <w:endnote w:type="continuationSeparator" w:id="0">
    <w:p w:rsidR="00E96ED8" w:rsidRDefault="00E96ED8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ED8" w:rsidRDefault="00E96ED8" w:rsidP="00A23098">
      <w:r>
        <w:separator/>
      </w:r>
    </w:p>
  </w:footnote>
  <w:footnote w:type="continuationSeparator" w:id="0">
    <w:p w:rsidR="00E96ED8" w:rsidRDefault="00E96ED8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427E1D"/>
    <w:rsid w:val="005A1F9F"/>
    <w:rsid w:val="005A59A1"/>
    <w:rsid w:val="005B05E5"/>
    <w:rsid w:val="00886568"/>
    <w:rsid w:val="00887D5F"/>
    <w:rsid w:val="00905CAA"/>
    <w:rsid w:val="0095629C"/>
    <w:rsid w:val="00A23098"/>
    <w:rsid w:val="00A54CC3"/>
    <w:rsid w:val="00B7362B"/>
    <w:rsid w:val="00C431F7"/>
    <w:rsid w:val="00CD3769"/>
    <w:rsid w:val="00D05D89"/>
    <w:rsid w:val="00D50CA5"/>
    <w:rsid w:val="00DA71E4"/>
    <w:rsid w:val="00E96ED8"/>
    <w:rsid w:val="00ED3363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10,5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734-49BF-A3E8-00B9D3B7E06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16,7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734-49BF-A3E8-00B9D3B7E06D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10.5</c:v>
                </c:pt>
                <c:pt idx="1">
                  <c:v>16.7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34-49BF-A3E8-00B9D3B7E0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734-49BF-A3E8-00B9D3B7E06D}"/>
                </c:ext>
              </c:extLst>
            </c:dLbl>
            <c:dLbl>
              <c:idx val="1"/>
              <c:layout>
                <c:manualLayout>
                  <c:x val="-4.1430783158302352E-17"/>
                  <c:y val="7.8662733529990172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734-49BF-A3E8-00B9D3B7E06D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7.7</c:v>
                </c:pt>
                <c:pt idx="1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734-49BF-A3E8-00B9D3B7E0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65,9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734-49BF-A3E8-00B9D3B7E06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60,5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734-49BF-A3E8-00B9D3B7E06D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65.900000000000006</c:v>
                </c:pt>
                <c:pt idx="1">
                  <c:v>60.5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734-49BF-A3E8-00B9D3B7E0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734-49BF-A3E8-00B9D3B7E06D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734-49BF-A3E8-00B9D3B7E06D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3.9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734-49BF-A3E8-00B9D3B7E06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734-49BF-A3E8-00B9D3B7E06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734-49BF-A3E8-00B9D3B7E06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734-49BF-A3E8-00B9D3B7E06D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734-49BF-A3E8-00B9D3B7E06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1.9</c:v>
                </c:pt>
                <c:pt idx="1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734-49BF-A3E8-00B9D3B7E06D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2,3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734-49BF-A3E8-00B9D3B7E06D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734-49BF-A3E8-00B9D3B7E06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2.2999999999999998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734-49BF-A3E8-00B9D3B7E06D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48445631148E-2"/>
                  <c:y val="7.91295746785361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734-49BF-A3E8-00B9D3B7E06D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9,3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734-49BF-A3E8-00B9D3B7E06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6.2</c:v>
                </c:pt>
                <c:pt idx="1">
                  <c:v>9.3000000000000007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734-49BF-A3E8-00B9D3B7E0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4747536"/>
        <c:axId val="1"/>
        <c:axId val="0"/>
      </c:bar3DChart>
      <c:catAx>
        <c:axId val="1147475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4747536"/>
        <c:crosses val="autoZero"/>
        <c:crossBetween val="between"/>
      </c:valAx>
      <c:spPr>
        <a:noFill/>
        <a:ln w="22662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691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0,1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13</cp:revision>
  <dcterms:created xsi:type="dcterms:W3CDTF">2021-02-02T09:48:00Z</dcterms:created>
  <dcterms:modified xsi:type="dcterms:W3CDTF">2022-04-29T09:09:00Z</dcterms:modified>
</cp:coreProperties>
</file>