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01E" w:rsidRPr="0073001E" w:rsidRDefault="0073001E" w:rsidP="0073001E">
      <w:pPr>
        <w:spacing w:line="276" w:lineRule="auto"/>
        <w:ind w:firstLine="567"/>
        <w:rPr>
          <w:sz w:val="24"/>
          <w:szCs w:val="24"/>
        </w:rPr>
      </w:pPr>
      <w:r w:rsidRPr="0073001E">
        <w:rPr>
          <w:sz w:val="24"/>
          <w:szCs w:val="24"/>
        </w:rPr>
        <w:t xml:space="preserve">Основным показателем, отражающим общие параметры коммерческой деятельности, является оборот организаций. В оборот организаций 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 </w:t>
      </w:r>
    </w:p>
    <w:p w:rsidR="0073001E" w:rsidRPr="0073001E" w:rsidRDefault="0073001E" w:rsidP="0073001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3001E" w:rsidRPr="0073001E" w:rsidRDefault="0073001E" w:rsidP="0073001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3001E">
        <w:rPr>
          <w:sz w:val="24"/>
          <w:szCs w:val="24"/>
        </w:rPr>
        <w:t>Оборот малых и средних предприятий г. Ростова-на-Дону в разрезе видов экономической деятельности за январь-июнь 2016 года</w:t>
      </w:r>
    </w:p>
    <w:p w:rsidR="0073001E" w:rsidRPr="0073001E" w:rsidRDefault="0073001E" w:rsidP="0073001E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3001E" w:rsidRPr="0073001E" w:rsidRDefault="0073001E" w:rsidP="0073001E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p w:rsidR="0073001E" w:rsidRPr="0073001E" w:rsidRDefault="0073001E" w:rsidP="0073001E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90"/>
        <w:gridCol w:w="2212"/>
        <w:gridCol w:w="1342"/>
        <w:gridCol w:w="2202"/>
      </w:tblGrid>
      <w:tr w:rsidR="0073001E" w:rsidRPr="0073001E" w:rsidTr="008A3F76">
        <w:trPr>
          <w:trHeight w:val="388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3402" w:type="dxa"/>
            <w:gridSpan w:val="2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567"/>
              <w:jc w:val="center"/>
              <w:rPr>
                <w:rFonts w:cs="Arial"/>
                <w:bCs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Средние предприятия</w:t>
            </w:r>
          </w:p>
        </w:tc>
        <w:tc>
          <w:tcPr>
            <w:tcW w:w="3544" w:type="dxa"/>
            <w:gridSpan w:val="2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567"/>
              <w:jc w:val="center"/>
              <w:rPr>
                <w:rFonts w:cs="Arial"/>
                <w:bCs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Малые предприятия</w:t>
            </w:r>
          </w:p>
        </w:tc>
      </w:tr>
      <w:tr w:rsidR="0073001E" w:rsidRPr="0073001E" w:rsidTr="006D0E33">
        <w:trPr>
          <w:trHeight w:val="1116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firstLine="144"/>
              <w:jc w:val="center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Млн. рублей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firstLine="0"/>
              <w:jc w:val="center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 xml:space="preserve">Темп роста в фактических ценах к соответствующему периоду прошлого года, </w:t>
            </w:r>
            <w:proofErr w:type="gramStart"/>
            <w:r w:rsidRPr="0073001E">
              <w:rPr>
                <w:rFonts w:cs="Arial"/>
                <w:sz w:val="20"/>
              </w:rPr>
              <w:t>в</w:t>
            </w:r>
            <w:proofErr w:type="gramEnd"/>
            <w:r w:rsidRPr="0073001E">
              <w:rPr>
                <w:rFonts w:cs="Arial"/>
                <w:sz w:val="20"/>
              </w:rPr>
              <w:t xml:space="preserve"> %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firstLine="0"/>
              <w:jc w:val="center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Млн. рублей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firstLine="37"/>
              <w:jc w:val="center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Темп роста в фактических ценах к соответствующему периоду прошлого года, в %</w:t>
            </w:r>
            <w:r w:rsidRPr="0073001E">
              <w:rPr>
                <w:rFonts w:cs="Arial"/>
                <w:sz w:val="20"/>
                <w:vertAlign w:val="superscript"/>
              </w:rPr>
              <w:t>1</w:t>
            </w:r>
          </w:p>
        </w:tc>
      </w:tr>
      <w:tr w:rsidR="0073001E" w:rsidRPr="0073001E" w:rsidTr="006D0E33">
        <w:trPr>
          <w:trHeight w:val="222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Всего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52844,8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129,6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131293,2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99,7</w:t>
            </w:r>
          </w:p>
        </w:tc>
      </w:tr>
      <w:tr w:rsidR="0073001E" w:rsidRPr="0073001E" w:rsidTr="006D0E33">
        <w:trPr>
          <w:trHeight w:val="540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/>
                <w:sz w:val="20"/>
              </w:rPr>
            </w:pPr>
            <w:r w:rsidRPr="0073001E">
              <w:rPr>
                <w:rFonts w:cs="Arial"/>
                <w:i/>
                <w:sz w:val="20"/>
              </w:rPr>
              <w:t>в том числе организации с основным видом деятельности: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iCs/>
                <w:sz w:val="20"/>
              </w:rPr>
            </w:pPr>
          </w:p>
        </w:tc>
      </w:tr>
      <w:tr w:rsidR="0073001E" w:rsidRPr="0073001E" w:rsidTr="006D0E33">
        <w:trPr>
          <w:trHeight w:val="471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сельское хозяйство, охота и лесное хозяйство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158,4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122,0</w:t>
            </w:r>
          </w:p>
        </w:tc>
      </w:tr>
      <w:tr w:rsidR="0073001E" w:rsidRPr="0073001E" w:rsidTr="006D0E33">
        <w:trPr>
          <w:trHeight w:val="158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Рыболовство, рыбоводство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</w:tr>
      <w:tr w:rsidR="0073001E" w:rsidRPr="0073001E" w:rsidTr="006D0E33">
        <w:trPr>
          <w:trHeight w:val="158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добыча полезных ископаемых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</w:tr>
      <w:tr w:rsidR="0073001E" w:rsidRPr="0073001E" w:rsidTr="006D0E33">
        <w:trPr>
          <w:trHeight w:val="165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5675,1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103,4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10613,8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126,9</w:t>
            </w:r>
          </w:p>
        </w:tc>
      </w:tr>
      <w:tr w:rsidR="0073001E" w:rsidRPr="0073001E" w:rsidTr="006D0E33">
        <w:trPr>
          <w:trHeight w:val="198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производство и распределение электроэнергии, газа и воды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  <w:vertAlign w:val="superscript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568,6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в 1,8 р.</w:t>
            </w:r>
          </w:p>
        </w:tc>
      </w:tr>
      <w:tr w:rsidR="0073001E" w:rsidRPr="0073001E" w:rsidTr="006D0E33">
        <w:trPr>
          <w:trHeight w:val="315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567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строительство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1343,2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76,2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6943,6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78,4</w:t>
            </w:r>
          </w:p>
        </w:tc>
      </w:tr>
      <w:tr w:rsidR="0073001E" w:rsidRPr="0073001E" w:rsidTr="006D0E33">
        <w:trPr>
          <w:trHeight w:val="648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44124,7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138,9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98294,3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98,0</w:t>
            </w:r>
          </w:p>
        </w:tc>
      </w:tr>
      <w:tr w:rsidR="0073001E" w:rsidRPr="0073001E" w:rsidTr="006D0E33">
        <w:trPr>
          <w:trHeight w:val="223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гостиницы и рестораны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  <w:vertAlign w:val="superscript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2032,9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110,5</w:t>
            </w:r>
          </w:p>
        </w:tc>
      </w:tr>
      <w:tr w:rsidR="0073001E" w:rsidRPr="0073001E" w:rsidTr="006D0E33">
        <w:trPr>
          <w:trHeight w:val="315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транспорт и связь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616,2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96,7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3827,7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в 1,3 р.</w:t>
            </w:r>
          </w:p>
        </w:tc>
      </w:tr>
      <w:tr w:rsidR="0073001E" w:rsidRPr="0073001E" w:rsidTr="006D0E33">
        <w:trPr>
          <w:trHeight w:val="359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866,9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89,8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7334,3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97,7</w:t>
            </w:r>
          </w:p>
        </w:tc>
      </w:tr>
      <w:tr w:rsidR="0073001E" w:rsidRPr="0073001E" w:rsidTr="006D0E33">
        <w:trPr>
          <w:trHeight w:val="291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образование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-</w:t>
            </w:r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  <w:vertAlign w:val="superscript"/>
              </w:rPr>
            </w:pPr>
            <w:r w:rsidRPr="0073001E">
              <w:rPr>
                <w:rFonts w:cs="Arial"/>
                <w:sz w:val="20"/>
              </w:rPr>
              <w:t>29,4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142,7</w:t>
            </w:r>
          </w:p>
        </w:tc>
      </w:tr>
      <w:tr w:rsidR="0073001E" w:rsidRPr="0073001E" w:rsidTr="006D0E33">
        <w:trPr>
          <w:trHeight w:val="168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здравоохранение и предоставление социальных услуг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90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1098,9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109,6</w:t>
            </w:r>
          </w:p>
        </w:tc>
      </w:tr>
      <w:tr w:rsidR="0073001E" w:rsidRPr="0073001E" w:rsidTr="006D0E33">
        <w:trPr>
          <w:trHeight w:val="374"/>
        </w:trPr>
        <w:tc>
          <w:tcPr>
            <w:tcW w:w="2518" w:type="dxa"/>
            <w:hideMark/>
          </w:tcPr>
          <w:p w:rsidR="0073001E" w:rsidRPr="0073001E" w:rsidRDefault="0073001E" w:rsidP="0073001E">
            <w:pPr>
              <w:spacing w:line="190" w:lineRule="exact"/>
              <w:ind w:right="212" w:firstLine="0"/>
              <w:rPr>
                <w:rFonts w:cs="Arial"/>
                <w:iCs/>
                <w:sz w:val="20"/>
              </w:rPr>
            </w:pPr>
            <w:r w:rsidRPr="0073001E">
              <w:rPr>
                <w:rFonts w:cs="Arial"/>
                <w:sz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1190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  <w:vertAlign w:val="superscript"/>
              </w:rPr>
            </w:pPr>
            <w:r w:rsidRPr="0073001E">
              <w:rPr>
                <w:rFonts w:cs="Arial"/>
                <w:sz w:val="20"/>
              </w:rPr>
              <w:t>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221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1395"/>
              </w:tabs>
              <w:spacing w:line="190" w:lineRule="exact"/>
              <w:ind w:right="90" w:firstLine="642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 xml:space="preserve"> х</w:t>
            </w:r>
            <w:proofErr w:type="gramStart"/>
            <w:r w:rsidRPr="0073001E">
              <w:rPr>
                <w:rFonts w:cs="Arial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1342" w:type="dxa"/>
            <w:noWrap/>
            <w:vAlign w:val="center"/>
            <w:hideMark/>
          </w:tcPr>
          <w:p w:rsidR="0073001E" w:rsidRPr="0073001E" w:rsidRDefault="0073001E" w:rsidP="0073001E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379,9</w:t>
            </w:r>
          </w:p>
        </w:tc>
        <w:tc>
          <w:tcPr>
            <w:tcW w:w="2202" w:type="dxa"/>
            <w:noWrap/>
            <w:vAlign w:val="center"/>
            <w:hideMark/>
          </w:tcPr>
          <w:p w:rsidR="0073001E" w:rsidRPr="0073001E" w:rsidRDefault="0073001E" w:rsidP="0073001E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  <w:r w:rsidRPr="0073001E">
              <w:rPr>
                <w:rFonts w:cs="Arial"/>
                <w:sz w:val="20"/>
              </w:rPr>
              <w:t>82,6</w:t>
            </w:r>
          </w:p>
        </w:tc>
      </w:tr>
    </w:tbl>
    <w:p w:rsidR="0073001E" w:rsidRPr="0073001E" w:rsidRDefault="0073001E" w:rsidP="0073001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</w:rPr>
      </w:pPr>
      <w:r w:rsidRPr="0073001E">
        <w:rPr>
          <w:sz w:val="20"/>
        </w:rPr>
        <w:t>_________________________</w:t>
      </w:r>
    </w:p>
    <w:p w:rsidR="0073001E" w:rsidRPr="0073001E" w:rsidRDefault="0073001E" w:rsidP="0073001E">
      <w:pPr>
        <w:ind w:firstLine="0"/>
        <w:rPr>
          <w:rFonts w:cs="Arial"/>
          <w:sz w:val="20"/>
        </w:rPr>
      </w:pPr>
      <w:r w:rsidRPr="0073001E">
        <w:rPr>
          <w:rFonts w:cs="Arial"/>
          <w:sz w:val="20"/>
          <w:vertAlign w:val="superscript"/>
        </w:rPr>
        <w:t>1</w:t>
      </w:r>
      <w:r w:rsidRPr="0073001E">
        <w:rPr>
          <w:rFonts w:cs="Arial"/>
          <w:sz w:val="20"/>
        </w:rPr>
        <w:t xml:space="preserve"> Показатель рассчитан по фактически сложившемуся кругу малых предприятий  </w:t>
      </w:r>
    </w:p>
    <w:p w:rsidR="0073001E" w:rsidRPr="0073001E" w:rsidRDefault="0073001E" w:rsidP="0073001E">
      <w:pPr>
        <w:spacing w:line="200" w:lineRule="exact"/>
        <w:ind w:firstLine="0"/>
        <w:jc w:val="left"/>
        <w:rPr>
          <w:rFonts w:cs="Arial"/>
          <w:sz w:val="20"/>
        </w:rPr>
      </w:pPr>
      <w:r w:rsidRPr="0073001E">
        <w:rPr>
          <w:rFonts w:cs="Arial"/>
          <w:sz w:val="20"/>
          <w:vertAlign w:val="superscript"/>
        </w:rPr>
        <w:t>2</w:t>
      </w:r>
      <w:proofErr w:type="gramStart"/>
      <w:r w:rsidRPr="0073001E">
        <w:rPr>
          <w:rFonts w:cs="Arial"/>
          <w:sz w:val="20"/>
          <w:vertAlign w:val="superscript"/>
        </w:rPr>
        <w:t xml:space="preserve">  </w:t>
      </w:r>
      <w:r w:rsidRPr="0073001E">
        <w:rPr>
          <w:rFonts w:cs="Arial"/>
          <w:sz w:val="20"/>
        </w:rPr>
        <w:t>В</w:t>
      </w:r>
      <w:proofErr w:type="gramEnd"/>
      <w:r w:rsidRPr="0073001E">
        <w:rPr>
          <w:rFonts w:cs="Arial"/>
          <w:sz w:val="20"/>
        </w:rPr>
        <w:t xml:space="preserve"> целях соблюдения конфиденциальности персонифицированных данных в таблице закрещены сведения, представленные единичными организациями</w:t>
      </w:r>
    </w:p>
    <w:p w:rsidR="0073001E" w:rsidRPr="0073001E" w:rsidRDefault="0073001E" w:rsidP="0073001E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73001E">
        <w:rPr>
          <w:color w:val="FF0000"/>
          <w:sz w:val="24"/>
          <w:szCs w:val="24"/>
        </w:rPr>
        <w:lastRenderedPageBreak/>
        <w:t xml:space="preserve"> </w:t>
      </w:r>
      <w:r w:rsidRPr="0073001E">
        <w:rPr>
          <w:sz w:val="24"/>
          <w:szCs w:val="24"/>
        </w:rPr>
        <w:t xml:space="preserve">Анализ показателя оборот организаций, отражающий коммерческую деятельность малых и средних  предприятий, свидетельствует о </w:t>
      </w:r>
      <w:r w:rsidRPr="0073001E">
        <w:rPr>
          <w:rFonts w:eastAsia="Calibri"/>
          <w:sz w:val="24"/>
          <w:szCs w:val="24"/>
          <w:lang w:eastAsia="en-US"/>
        </w:rPr>
        <w:t xml:space="preserve">сохранении опережающей динамики его роста по сравнению с прошлым годом только </w:t>
      </w:r>
      <w:r w:rsidRPr="0073001E">
        <w:rPr>
          <w:sz w:val="24"/>
          <w:szCs w:val="24"/>
        </w:rPr>
        <w:t>у средних хозяйствующих субъектов.</w:t>
      </w:r>
      <w:r w:rsidRPr="0073001E">
        <w:rPr>
          <w:color w:val="FF0000"/>
          <w:sz w:val="24"/>
          <w:szCs w:val="24"/>
        </w:rPr>
        <w:t xml:space="preserve"> </w:t>
      </w:r>
      <w:r w:rsidRPr="0073001E">
        <w:rPr>
          <w:rFonts w:cs="Arial"/>
          <w:sz w:val="24"/>
          <w:szCs w:val="24"/>
        </w:rPr>
        <w:t xml:space="preserve">Так, за январь-июнь 2016 года оборот средних предприятий города составил  52844,8 млн. рублей, что выше аналогичного показателя 2015 года </w:t>
      </w:r>
      <w:r w:rsidRPr="0073001E">
        <w:rPr>
          <w:sz w:val="24"/>
          <w:szCs w:val="24"/>
        </w:rPr>
        <w:t xml:space="preserve">по данному кругу организаций </w:t>
      </w:r>
      <w:r w:rsidRPr="0073001E">
        <w:rPr>
          <w:rFonts w:cs="Arial"/>
          <w:sz w:val="24"/>
          <w:szCs w:val="24"/>
        </w:rPr>
        <w:t xml:space="preserve">на 29,6 процента (годом ранее рост на 6,3%). </w:t>
      </w:r>
    </w:p>
    <w:p w:rsidR="0073001E" w:rsidRPr="0073001E" w:rsidRDefault="0073001E" w:rsidP="0073001E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3001E">
        <w:rPr>
          <w:sz w:val="24"/>
          <w:szCs w:val="24"/>
        </w:rPr>
        <w:t xml:space="preserve">При этом оборот малых предприятий </w:t>
      </w:r>
      <w:bookmarkStart w:id="0" w:name="_GoBack"/>
      <w:bookmarkEnd w:id="0"/>
      <w:r w:rsidRPr="0073001E">
        <w:rPr>
          <w:rFonts w:cs="Arial"/>
          <w:sz w:val="24"/>
          <w:szCs w:val="24"/>
        </w:rPr>
        <w:t xml:space="preserve">(без </w:t>
      </w:r>
      <w:proofErr w:type="spellStart"/>
      <w:r w:rsidRPr="0073001E">
        <w:rPr>
          <w:rFonts w:cs="Arial"/>
          <w:sz w:val="24"/>
          <w:szCs w:val="24"/>
        </w:rPr>
        <w:t>микропредприятий</w:t>
      </w:r>
      <w:proofErr w:type="spellEnd"/>
      <w:r w:rsidRPr="0073001E">
        <w:rPr>
          <w:rFonts w:cs="Arial"/>
          <w:sz w:val="24"/>
          <w:szCs w:val="24"/>
        </w:rPr>
        <w:t xml:space="preserve">) </w:t>
      </w:r>
      <w:r w:rsidRPr="0073001E">
        <w:rPr>
          <w:sz w:val="24"/>
          <w:szCs w:val="24"/>
        </w:rPr>
        <w:t xml:space="preserve">сложился ниже показателей соответствующего периода 2015 года </w:t>
      </w:r>
      <w:r w:rsidRPr="0073001E">
        <w:rPr>
          <w:rFonts w:cs="Arial"/>
          <w:sz w:val="24"/>
          <w:szCs w:val="24"/>
        </w:rPr>
        <w:t xml:space="preserve">по фактическому кругу организаций </w:t>
      </w:r>
      <w:r w:rsidRPr="0073001E">
        <w:rPr>
          <w:sz w:val="24"/>
          <w:szCs w:val="24"/>
        </w:rPr>
        <w:t>на 0,3 процента и составил 131293,2 млн. рублей (год назад темп роста оборота 102,3%).</w:t>
      </w:r>
    </w:p>
    <w:p w:rsidR="0073001E" w:rsidRPr="0073001E" w:rsidRDefault="0073001E" w:rsidP="0073001E">
      <w:pPr>
        <w:tabs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73001E">
        <w:rPr>
          <w:color w:val="FF0000"/>
          <w:sz w:val="24"/>
          <w:szCs w:val="24"/>
        </w:rPr>
        <w:t xml:space="preserve">         </w:t>
      </w:r>
      <w:r w:rsidRPr="0073001E">
        <w:rPr>
          <w:sz w:val="24"/>
          <w:szCs w:val="24"/>
        </w:rPr>
        <w:t xml:space="preserve">Традиционно, наиболее весом вклад в обороте организаций, среднего и малого бизнеса  предприятий торговли (соответственно 83,5% и 74,9%). Около 9 процентов оборота малых предприятий и 10 процентов оборота средних предприятий формируют организации промышленного сектора. Порядка 6 процентов в структуре оборота у малых предприятий и 1,6 процента у средних  предприятий приходится на организации, осуществляющие операции с недвижимым имуществом.  </w:t>
      </w:r>
    </w:p>
    <w:p w:rsidR="0073001E" w:rsidRPr="0073001E" w:rsidRDefault="0073001E" w:rsidP="0073001E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3001E">
        <w:rPr>
          <w:sz w:val="24"/>
          <w:szCs w:val="24"/>
        </w:rPr>
        <w:t>Заметим, что по итогам первых шести месяцев текущего года в сравнении с аналогичным периодом 2015 года малые предприятия  демонстрировали рост темпа оборота практически по всем  видам экономической деятельности. Наиболее активно рос оборот малых предприятий специализирующихся в секторе производства и распределения электроэнергии, газа и воды (в 1,8 р.) и в сфере образования (в 1,4 р.).</w:t>
      </w:r>
      <w:r w:rsidRPr="0073001E">
        <w:rPr>
          <w:color w:val="FF0000"/>
          <w:sz w:val="24"/>
          <w:szCs w:val="24"/>
        </w:rPr>
        <w:t xml:space="preserve"> </w:t>
      </w:r>
      <w:r w:rsidRPr="0073001E">
        <w:rPr>
          <w:color w:val="000000"/>
          <w:sz w:val="24"/>
          <w:szCs w:val="24"/>
        </w:rPr>
        <w:t xml:space="preserve">Значительное наращивание оборота отмечалось также у малых предприятий </w:t>
      </w:r>
      <w:r w:rsidRPr="0073001E">
        <w:rPr>
          <w:sz w:val="24"/>
          <w:szCs w:val="24"/>
        </w:rPr>
        <w:t>транспорта и связи (на 31,6%),  сельского хозяйства, охоты и лесного хозяйства (на 22,0%) и сектора обрабатывающих производств (на 26,9%).</w:t>
      </w:r>
      <w:r w:rsidRPr="0073001E">
        <w:rPr>
          <w:color w:val="FF0000"/>
          <w:sz w:val="24"/>
          <w:szCs w:val="24"/>
        </w:rPr>
        <w:t xml:space="preserve"> </w:t>
      </w:r>
      <w:r w:rsidRPr="0073001E">
        <w:rPr>
          <w:sz w:val="24"/>
          <w:szCs w:val="24"/>
        </w:rPr>
        <w:t xml:space="preserve">Выше, чем в прошлом году сложился оборот малых предприятий  в гостиничном и ресторанном бизнесе (на 10,5%) и в здравоохранении и предоставлении социальных услуг (на 9,6%). </w:t>
      </w:r>
    </w:p>
    <w:p w:rsidR="0073001E" w:rsidRPr="0073001E" w:rsidRDefault="0073001E" w:rsidP="0073001E">
      <w:pPr>
        <w:spacing w:line="276" w:lineRule="auto"/>
        <w:ind w:firstLine="567"/>
        <w:rPr>
          <w:sz w:val="24"/>
          <w:szCs w:val="24"/>
        </w:rPr>
      </w:pPr>
      <w:r w:rsidRPr="0073001E">
        <w:rPr>
          <w:sz w:val="24"/>
          <w:szCs w:val="24"/>
        </w:rPr>
        <w:t xml:space="preserve">Вместе с тем, снижение оборота отмечено в стройиндустрии (на 21,6%), предоставлении прочих коммунальных, социальных и персональных услуг (на 17,4%), в сфере </w:t>
      </w:r>
      <w:r w:rsidRPr="0073001E">
        <w:rPr>
          <w:rFonts w:cs="Arial"/>
          <w:sz w:val="24"/>
          <w:szCs w:val="24"/>
        </w:rPr>
        <w:t>операций с недвижимым имуществом, аренде и предоставлении услуг</w:t>
      </w:r>
      <w:r w:rsidRPr="0073001E">
        <w:rPr>
          <w:sz w:val="24"/>
          <w:szCs w:val="24"/>
        </w:rPr>
        <w:t xml:space="preserve"> (на 2,3%). </w:t>
      </w:r>
    </w:p>
    <w:p w:rsidR="0073001E" w:rsidRPr="0073001E" w:rsidRDefault="0073001E" w:rsidP="0073001E">
      <w:pPr>
        <w:tabs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73001E">
        <w:rPr>
          <w:sz w:val="24"/>
          <w:szCs w:val="24"/>
        </w:rPr>
        <w:t xml:space="preserve">         Что касается средних предприятий города, то рост оборота организаций за январь - июнь 2016 года зафиксирован только в сфере оптовой и розничной торговли (в 1,4 раза) и в секторе обрабатывающих производств (на 3,4%). По остальным видам деятельности отмечено снижение оборота в сравнении с прошлым годом. </w:t>
      </w:r>
    </w:p>
    <w:p w:rsidR="006C4B3F" w:rsidRPr="0073001E" w:rsidRDefault="00260FA0" w:rsidP="0073001E"/>
    <w:sectPr w:rsidR="006C4B3F" w:rsidRPr="007300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131C5D"/>
    <w:rsid w:val="001A3607"/>
    <w:rsid w:val="00260FA0"/>
    <w:rsid w:val="004312E6"/>
    <w:rsid w:val="006848F0"/>
    <w:rsid w:val="006D0E33"/>
    <w:rsid w:val="0073001E"/>
    <w:rsid w:val="008C5ED7"/>
    <w:rsid w:val="0095629C"/>
    <w:rsid w:val="00E6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E6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E6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Владимир В. Лысенко</cp:lastModifiedBy>
  <cp:revision>8</cp:revision>
  <dcterms:created xsi:type="dcterms:W3CDTF">2018-04-03T12:43:00Z</dcterms:created>
  <dcterms:modified xsi:type="dcterms:W3CDTF">2018-04-04T08:06:00Z</dcterms:modified>
</cp:coreProperties>
</file>