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70BF" w:rsidRDefault="003A5B74" w:rsidP="002B70BF">
      <w:pPr>
        <w:widowControl w:val="0"/>
        <w:tabs>
          <w:tab w:val="left" w:pos="1549"/>
        </w:tabs>
        <w:autoSpaceDE w:val="0"/>
        <w:autoSpaceDN w:val="0"/>
        <w:adjustRightInd w:val="0"/>
        <w:spacing w:line="276" w:lineRule="auto"/>
        <w:ind w:firstLine="567"/>
        <w:rPr>
          <w:sz w:val="24"/>
          <w:szCs w:val="24"/>
        </w:rPr>
      </w:pPr>
      <w:r w:rsidRPr="002B70BF">
        <w:rPr>
          <w:sz w:val="24"/>
          <w:szCs w:val="24"/>
        </w:rPr>
        <w:t>Среднесписочная численность работающих на малых и средних пр</w:t>
      </w:r>
      <w:r w:rsidR="002B70BF" w:rsidRPr="002B70BF">
        <w:rPr>
          <w:sz w:val="24"/>
          <w:szCs w:val="24"/>
        </w:rPr>
        <w:t>едприятиях города по итогам 2018</w:t>
      </w:r>
      <w:r w:rsidRPr="002B70BF">
        <w:rPr>
          <w:sz w:val="24"/>
          <w:szCs w:val="24"/>
        </w:rPr>
        <w:t xml:space="preserve"> года </w:t>
      </w:r>
      <w:r w:rsidR="002B70BF" w:rsidRPr="002B70BF">
        <w:rPr>
          <w:sz w:val="24"/>
          <w:szCs w:val="24"/>
        </w:rPr>
        <w:t>составила 74,1 тыс. человек, в том числе 60,3 тыс. человек было занято на малых предприятиях города и 13,8 тыс. человек – на средних предприятиях.</w:t>
      </w:r>
      <w:r w:rsidRPr="002B70BF">
        <w:rPr>
          <w:sz w:val="24"/>
          <w:szCs w:val="24"/>
        </w:rPr>
        <w:t xml:space="preserve"> По оценке, </w:t>
      </w:r>
      <w:r w:rsidR="002B70BF" w:rsidRPr="002B70BF">
        <w:rPr>
          <w:sz w:val="24"/>
          <w:szCs w:val="24"/>
        </w:rPr>
        <w:t xml:space="preserve">по сравнению с прошлым годом численность занятых на малых предприятиях по данному кругу организаций, по оценке, снизилась на 11,2 процента, что объясняется исключением ФНС ряда «нетипичных предприятий», численность работников которых по результатам 2017 года превысила установленные критерии, из единого реестра субъектов малого и среднего предпринимательства. На средних предприятиях численность работников снизилась на 1,7 процента. </w:t>
      </w:r>
    </w:p>
    <w:p w:rsidR="002B70BF" w:rsidRPr="002B70BF" w:rsidRDefault="002B70BF" w:rsidP="002B70BF">
      <w:pPr>
        <w:spacing w:line="276" w:lineRule="auto"/>
        <w:rPr>
          <w:iCs/>
          <w:sz w:val="24"/>
          <w:szCs w:val="24"/>
        </w:rPr>
      </w:pPr>
      <w:r w:rsidRPr="002B70BF">
        <w:rPr>
          <w:sz w:val="24"/>
          <w:szCs w:val="24"/>
        </w:rPr>
        <w:t>Как и раньше, основная часть работающих на малых и средних предприятиях города занято в торговом секторе (31,8%) и в промышленных видах деятельности (16,9% от общей численности занятых в данном секторе экономики). Удельный вес занятых на малых и средних предприятиях стройиндустрии составил по итогам двенадцати месяцев 11 процентов, в секторе транспортировки и хранения 7,8 процента, в сфере операций с недвижимым имуществом 6 процентов.</w:t>
      </w:r>
    </w:p>
    <w:p w:rsidR="003A5B74" w:rsidRPr="007971ED" w:rsidRDefault="003A5B74" w:rsidP="003A5B74">
      <w:pPr>
        <w:jc w:val="center"/>
        <w:rPr>
          <w:color w:val="FF0000"/>
          <w:szCs w:val="24"/>
          <w:highlight w:val="yellow"/>
        </w:rPr>
      </w:pPr>
    </w:p>
    <w:p w:rsidR="002B70BF" w:rsidRPr="002B70BF" w:rsidRDefault="002B70BF" w:rsidP="002B70BF">
      <w:pPr>
        <w:ind w:firstLine="0"/>
        <w:jc w:val="center"/>
        <w:rPr>
          <w:b/>
          <w:sz w:val="24"/>
          <w:szCs w:val="24"/>
        </w:rPr>
      </w:pPr>
      <w:r w:rsidRPr="002B70BF">
        <w:rPr>
          <w:b/>
          <w:sz w:val="24"/>
          <w:szCs w:val="24"/>
        </w:rPr>
        <w:t xml:space="preserve">Среднесписочная численность работников малых (без </w:t>
      </w:r>
      <w:proofErr w:type="spellStart"/>
      <w:proofErr w:type="gramStart"/>
      <w:r w:rsidRPr="002B70BF">
        <w:rPr>
          <w:b/>
          <w:sz w:val="24"/>
          <w:szCs w:val="24"/>
        </w:rPr>
        <w:t>микропредприятий</w:t>
      </w:r>
      <w:proofErr w:type="spellEnd"/>
      <w:r w:rsidRPr="002B70BF">
        <w:rPr>
          <w:b/>
          <w:sz w:val="24"/>
          <w:szCs w:val="24"/>
        </w:rPr>
        <w:t>)  и</w:t>
      </w:r>
      <w:proofErr w:type="gramEnd"/>
      <w:r w:rsidRPr="002B70BF">
        <w:rPr>
          <w:b/>
          <w:sz w:val="24"/>
          <w:szCs w:val="24"/>
        </w:rPr>
        <w:t xml:space="preserve"> средних предприятий г. Ростова-на-Дону                                                            по основным видам экономической деятельности </w:t>
      </w:r>
    </w:p>
    <w:p w:rsidR="002B70BF" w:rsidRPr="002B70BF" w:rsidRDefault="002B70BF" w:rsidP="002B70BF">
      <w:pPr>
        <w:ind w:firstLine="0"/>
        <w:jc w:val="center"/>
        <w:rPr>
          <w:b/>
          <w:sz w:val="24"/>
          <w:szCs w:val="24"/>
        </w:rPr>
      </w:pPr>
      <w:r w:rsidRPr="002B70BF">
        <w:rPr>
          <w:b/>
          <w:sz w:val="24"/>
          <w:szCs w:val="24"/>
        </w:rPr>
        <w:t xml:space="preserve">за январь-декабрь 2018 года </w:t>
      </w:r>
    </w:p>
    <w:p w:rsidR="002B70BF" w:rsidRPr="002B70BF" w:rsidRDefault="002B70BF" w:rsidP="002B70BF">
      <w:pPr>
        <w:tabs>
          <w:tab w:val="left" w:pos="2955"/>
          <w:tab w:val="center" w:pos="4961"/>
        </w:tabs>
        <w:jc w:val="left"/>
        <w:rPr>
          <w:sz w:val="24"/>
          <w:szCs w:val="24"/>
        </w:rPr>
      </w:pPr>
      <w:r w:rsidRPr="002B70BF">
        <w:rPr>
          <w:b/>
          <w:color w:val="FF0000"/>
          <w:sz w:val="24"/>
          <w:szCs w:val="24"/>
        </w:rPr>
        <w:tab/>
      </w:r>
      <w:r w:rsidRPr="002B70BF">
        <w:rPr>
          <w:sz w:val="24"/>
          <w:szCs w:val="24"/>
        </w:rPr>
        <w:t xml:space="preserve">       </w:t>
      </w:r>
      <w:proofErr w:type="gramStart"/>
      <w:r w:rsidRPr="002B70BF">
        <w:rPr>
          <w:sz w:val="24"/>
          <w:szCs w:val="24"/>
        </w:rPr>
        <w:t>( в</w:t>
      </w:r>
      <w:proofErr w:type="gramEnd"/>
      <w:r w:rsidRPr="002B70BF">
        <w:rPr>
          <w:sz w:val="24"/>
          <w:szCs w:val="24"/>
        </w:rPr>
        <w:t xml:space="preserve"> процентах)</w:t>
      </w:r>
    </w:p>
    <w:p w:rsidR="002B70BF" w:rsidRPr="002B70BF" w:rsidRDefault="002B70BF" w:rsidP="002B70BF">
      <w:pPr>
        <w:spacing w:line="276" w:lineRule="auto"/>
        <w:ind w:firstLine="0"/>
        <w:jc w:val="left"/>
        <w:rPr>
          <w:color w:val="FF0000"/>
          <w:sz w:val="24"/>
          <w:szCs w:val="24"/>
        </w:rPr>
      </w:pPr>
      <w:bookmarkStart w:id="0" w:name="_GoBack"/>
      <w:r w:rsidRPr="002B70BF">
        <w:rPr>
          <w:noProof/>
          <w:color w:val="FF0000"/>
          <w:sz w:val="24"/>
          <w:szCs w:val="24"/>
        </w:rPr>
        <w:drawing>
          <wp:inline distT="0" distB="0" distL="0" distR="0">
            <wp:extent cx="5852160" cy="3450590"/>
            <wp:effectExtent l="0" t="0" r="0" b="0"/>
            <wp:docPr id="1" name="Диаграмма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bookmarkEnd w:id="0"/>
    </w:p>
    <w:p w:rsidR="003A5B74" w:rsidRPr="007971ED" w:rsidRDefault="003A5B74" w:rsidP="003A5B74">
      <w:pPr>
        <w:spacing w:line="264" w:lineRule="auto"/>
        <w:ind w:firstLine="567"/>
        <w:rPr>
          <w:color w:val="FF0000"/>
          <w:szCs w:val="22"/>
          <w:highlight w:val="yellow"/>
        </w:rPr>
      </w:pPr>
    </w:p>
    <w:p w:rsidR="003D0ED7" w:rsidRPr="007971ED" w:rsidRDefault="00A45542" w:rsidP="003D0ED7">
      <w:pPr>
        <w:rPr>
          <w:bCs/>
          <w:highlight w:val="yellow"/>
        </w:rPr>
      </w:pPr>
      <w:r w:rsidRPr="00A45542">
        <w:t>Численность занятых в сфере индивидуальной предпринимательской деятельности, по экспериментальной оценке, в г. Ростове-на-Дону за январь-декабрь 2018 года составила 71,8 тыс. человек.</w:t>
      </w:r>
      <w:r>
        <w:t xml:space="preserve"> Наибольшая часть занятых данно</w:t>
      </w:r>
      <w:r w:rsidRPr="00A45542">
        <w:t>го сектора экономики сосредоточена в оптовой и розничной торговле (55%). На предприятиях обрабатывающих производств за</w:t>
      </w:r>
      <w:r>
        <w:t>действовано 8,8 процента, в сфе</w:t>
      </w:r>
      <w:r w:rsidRPr="00A45542">
        <w:t xml:space="preserve">ре операций с недвижимым имуществом - 8,4 </w:t>
      </w:r>
      <w:r>
        <w:t>процента занятых в сфере индиви</w:t>
      </w:r>
      <w:r w:rsidRPr="00A45542">
        <w:t>дуальной предпринимательской деятельности города.</w:t>
      </w:r>
    </w:p>
    <w:p w:rsidR="003D0ED7" w:rsidRPr="007971ED" w:rsidRDefault="003D0ED7" w:rsidP="003D0ED7">
      <w:pPr>
        <w:rPr>
          <w:highlight w:val="yellow"/>
        </w:rPr>
      </w:pPr>
    </w:p>
    <w:p w:rsidR="00A45542" w:rsidRPr="00A45542" w:rsidRDefault="00A45542" w:rsidP="00A45542">
      <w:pPr>
        <w:jc w:val="center"/>
        <w:rPr>
          <w:b/>
          <w:sz w:val="24"/>
          <w:szCs w:val="24"/>
        </w:rPr>
      </w:pPr>
      <w:r w:rsidRPr="00A45542">
        <w:rPr>
          <w:b/>
          <w:sz w:val="24"/>
          <w:szCs w:val="24"/>
        </w:rPr>
        <w:lastRenderedPageBreak/>
        <w:t xml:space="preserve">Численность занятых в сфере индивидуальной предпринимательской деятельности в г. Ростове-на-Дону по видам экономической деятельности </w:t>
      </w:r>
    </w:p>
    <w:p w:rsidR="00A45542" w:rsidRPr="00A45542" w:rsidRDefault="00A45542" w:rsidP="00A45542">
      <w:pPr>
        <w:jc w:val="center"/>
        <w:rPr>
          <w:b/>
          <w:sz w:val="24"/>
          <w:szCs w:val="24"/>
          <w:vertAlign w:val="superscript"/>
        </w:rPr>
      </w:pPr>
      <w:r w:rsidRPr="00A45542">
        <w:rPr>
          <w:b/>
          <w:sz w:val="24"/>
          <w:szCs w:val="24"/>
        </w:rPr>
        <w:t>в среднем за январь-декабрь 2018 года</w:t>
      </w:r>
    </w:p>
    <w:p w:rsidR="00A45542" w:rsidRPr="00A45542" w:rsidRDefault="00A45542" w:rsidP="00A45542">
      <w:pPr>
        <w:jc w:val="center"/>
        <w:rPr>
          <w:sz w:val="24"/>
          <w:szCs w:val="24"/>
        </w:rPr>
      </w:pPr>
      <w:r w:rsidRPr="00A45542">
        <w:rPr>
          <w:sz w:val="24"/>
          <w:szCs w:val="24"/>
        </w:rPr>
        <w:t>(предварительная экспериментальная оценка)</w:t>
      </w:r>
    </w:p>
    <w:p w:rsidR="00A45542" w:rsidRPr="00A45542" w:rsidRDefault="00A45542" w:rsidP="00A45542">
      <w:pPr>
        <w:jc w:val="center"/>
        <w:rPr>
          <w:b/>
        </w:rPr>
      </w:pPr>
    </w:p>
    <w:tbl>
      <w:tblPr>
        <w:tblW w:w="951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36"/>
        <w:gridCol w:w="1418"/>
        <w:gridCol w:w="1560"/>
      </w:tblGrid>
      <w:tr w:rsidR="00A45542" w:rsidRPr="00A45542" w:rsidTr="000B4CAD">
        <w:trPr>
          <w:trHeight w:val="20"/>
          <w:tblHeader/>
        </w:trPr>
        <w:tc>
          <w:tcPr>
            <w:tcW w:w="6536" w:type="dxa"/>
            <w:vMerge w:val="restart"/>
            <w:shd w:val="clear" w:color="auto" w:fill="auto"/>
            <w:vAlign w:val="center"/>
          </w:tcPr>
          <w:p w:rsidR="00A45542" w:rsidRPr="00A45542" w:rsidRDefault="00A45542" w:rsidP="00A45542">
            <w:pPr>
              <w:jc w:val="center"/>
              <w:rPr>
                <w:rFonts w:cs="Arial"/>
                <w:b/>
                <w:bCs/>
                <w:sz w:val="24"/>
                <w:szCs w:val="24"/>
              </w:rPr>
            </w:pPr>
            <w:r w:rsidRPr="00A45542">
              <w:rPr>
                <w:rFonts w:cs="Arial"/>
                <w:b/>
                <w:bCs/>
                <w:sz w:val="24"/>
                <w:szCs w:val="24"/>
              </w:rPr>
              <w:t>Вид экономической деятельности</w:t>
            </w:r>
          </w:p>
        </w:tc>
        <w:tc>
          <w:tcPr>
            <w:tcW w:w="2978" w:type="dxa"/>
            <w:gridSpan w:val="2"/>
            <w:shd w:val="clear" w:color="auto" w:fill="auto"/>
            <w:noWrap/>
            <w:vAlign w:val="center"/>
          </w:tcPr>
          <w:p w:rsidR="00A45542" w:rsidRPr="00A45542" w:rsidRDefault="00A45542" w:rsidP="00A45542">
            <w:pPr>
              <w:ind w:firstLine="0"/>
              <w:jc w:val="center"/>
              <w:rPr>
                <w:rFonts w:cs="Arial"/>
                <w:b/>
                <w:sz w:val="24"/>
                <w:szCs w:val="24"/>
              </w:rPr>
            </w:pPr>
            <w:r w:rsidRPr="00A45542">
              <w:rPr>
                <w:rFonts w:cs="Arial"/>
                <w:b/>
                <w:sz w:val="24"/>
                <w:szCs w:val="24"/>
              </w:rPr>
              <w:t>Численность занятых в сфере ИП</w:t>
            </w:r>
          </w:p>
        </w:tc>
      </w:tr>
      <w:tr w:rsidR="00A45542" w:rsidRPr="00A45542" w:rsidTr="000B4CAD">
        <w:trPr>
          <w:trHeight w:val="20"/>
          <w:tblHeader/>
        </w:trPr>
        <w:tc>
          <w:tcPr>
            <w:tcW w:w="6536" w:type="dxa"/>
            <w:vMerge/>
            <w:tcBorders>
              <w:bottom w:val="single" w:sz="4" w:space="0" w:color="auto"/>
            </w:tcBorders>
            <w:shd w:val="clear" w:color="auto" w:fill="auto"/>
            <w:vAlign w:val="center"/>
          </w:tcPr>
          <w:p w:rsidR="00A45542" w:rsidRPr="00A45542" w:rsidRDefault="00A45542" w:rsidP="00A45542">
            <w:pPr>
              <w:rPr>
                <w:rFonts w:cs="Arial"/>
                <w:b/>
                <w:bCs/>
                <w:sz w:val="24"/>
                <w:szCs w:val="24"/>
              </w:rPr>
            </w:pPr>
          </w:p>
        </w:tc>
        <w:tc>
          <w:tcPr>
            <w:tcW w:w="1418" w:type="dxa"/>
            <w:tcBorders>
              <w:bottom w:val="single" w:sz="4" w:space="0" w:color="auto"/>
            </w:tcBorders>
            <w:shd w:val="clear" w:color="auto" w:fill="auto"/>
            <w:noWrap/>
            <w:vAlign w:val="center"/>
          </w:tcPr>
          <w:p w:rsidR="00A45542" w:rsidRPr="00A45542" w:rsidRDefault="00A45542" w:rsidP="00A45542">
            <w:pPr>
              <w:ind w:firstLine="0"/>
              <w:jc w:val="center"/>
              <w:rPr>
                <w:rFonts w:cs="Arial"/>
                <w:b/>
                <w:i/>
                <w:sz w:val="24"/>
                <w:szCs w:val="24"/>
              </w:rPr>
            </w:pPr>
            <w:r w:rsidRPr="00A45542">
              <w:rPr>
                <w:rFonts w:cs="Arial"/>
                <w:b/>
                <w:i/>
                <w:sz w:val="24"/>
                <w:szCs w:val="24"/>
              </w:rPr>
              <w:t xml:space="preserve">всего, тыс. </w:t>
            </w:r>
          </w:p>
          <w:p w:rsidR="00A45542" w:rsidRPr="00A45542" w:rsidRDefault="00A45542" w:rsidP="00A45542">
            <w:pPr>
              <w:ind w:firstLine="0"/>
              <w:jc w:val="center"/>
              <w:rPr>
                <w:rFonts w:cs="Arial"/>
                <w:b/>
                <w:i/>
                <w:sz w:val="24"/>
                <w:szCs w:val="24"/>
              </w:rPr>
            </w:pPr>
            <w:r w:rsidRPr="00A45542">
              <w:rPr>
                <w:rFonts w:cs="Arial"/>
                <w:b/>
                <w:i/>
                <w:sz w:val="24"/>
                <w:szCs w:val="24"/>
              </w:rPr>
              <w:t xml:space="preserve"> человек</w:t>
            </w:r>
          </w:p>
        </w:tc>
        <w:tc>
          <w:tcPr>
            <w:tcW w:w="1560" w:type="dxa"/>
            <w:tcBorders>
              <w:bottom w:val="single" w:sz="4" w:space="0" w:color="auto"/>
            </w:tcBorders>
            <w:vAlign w:val="center"/>
          </w:tcPr>
          <w:p w:rsidR="00A45542" w:rsidRPr="00A45542" w:rsidRDefault="00A45542" w:rsidP="00A45542">
            <w:pPr>
              <w:ind w:firstLine="0"/>
              <w:jc w:val="center"/>
              <w:rPr>
                <w:rFonts w:cs="Arial"/>
                <w:b/>
                <w:sz w:val="24"/>
                <w:szCs w:val="24"/>
              </w:rPr>
            </w:pPr>
            <w:r w:rsidRPr="00A45542">
              <w:rPr>
                <w:rFonts w:cs="Arial"/>
                <w:b/>
                <w:i/>
                <w:sz w:val="24"/>
                <w:szCs w:val="24"/>
              </w:rPr>
              <w:t>удельный вес, %</w:t>
            </w:r>
          </w:p>
        </w:tc>
      </w:tr>
      <w:tr w:rsidR="00A45542" w:rsidRPr="00A45542" w:rsidTr="000B4CAD">
        <w:trPr>
          <w:trHeight w:val="187"/>
        </w:trPr>
        <w:tc>
          <w:tcPr>
            <w:tcW w:w="6536" w:type="dxa"/>
            <w:tcBorders>
              <w:top w:val="single" w:sz="4" w:space="0" w:color="auto"/>
              <w:left w:val="nil"/>
              <w:bottom w:val="nil"/>
              <w:right w:val="nil"/>
            </w:tcBorders>
            <w:shd w:val="clear" w:color="auto" w:fill="auto"/>
            <w:vAlign w:val="bottom"/>
            <w:hideMark/>
          </w:tcPr>
          <w:p w:rsidR="00A45542" w:rsidRPr="00A45542" w:rsidRDefault="00A45542" w:rsidP="00A45542">
            <w:pPr>
              <w:spacing w:before="40" w:after="40"/>
              <w:ind w:firstLine="0"/>
              <w:rPr>
                <w:rFonts w:cs="Arial"/>
                <w:b/>
                <w:bCs/>
                <w:sz w:val="24"/>
                <w:szCs w:val="24"/>
              </w:rPr>
            </w:pPr>
            <w:r w:rsidRPr="00A45542">
              <w:rPr>
                <w:rFonts w:cs="Arial"/>
                <w:b/>
                <w:bCs/>
                <w:sz w:val="24"/>
                <w:szCs w:val="24"/>
              </w:rPr>
              <w:t>ВСЕГО</w:t>
            </w:r>
          </w:p>
        </w:tc>
        <w:tc>
          <w:tcPr>
            <w:tcW w:w="1418" w:type="dxa"/>
            <w:tcBorders>
              <w:top w:val="single" w:sz="4" w:space="0" w:color="auto"/>
              <w:left w:val="nil"/>
              <w:bottom w:val="nil"/>
              <w:right w:val="nil"/>
            </w:tcBorders>
            <w:shd w:val="clear" w:color="auto" w:fill="auto"/>
            <w:noWrap/>
            <w:vAlign w:val="bottom"/>
            <w:hideMark/>
          </w:tcPr>
          <w:p w:rsidR="00A45542" w:rsidRPr="00A45542" w:rsidRDefault="00A45542" w:rsidP="00A45542">
            <w:pPr>
              <w:jc w:val="center"/>
              <w:rPr>
                <w:bCs/>
                <w:szCs w:val="22"/>
              </w:rPr>
            </w:pPr>
            <w:r w:rsidRPr="00A45542">
              <w:rPr>
                <w:szCs w:val="22"/>
              </w:rPr>
              <w:t>7</w:t>
            </w:r>
            <w:r w:rsidRPr="00A45542">
              <w:rPr>
                <w:szCs w:val="22"/>
                <w:lang w:val="en-US"/>
              </w:rPr>
              <w:t>1</w:t>
            </w:r>
            <w:r w:rsidRPr="00A45542">
              <w:rPr>
                <w:szCs w:val="22"/>
              </w:rPr>
              <w:t>,8</w:t>
            </w:r>
          </w:p>
        </w:tc>
        <w:tc>
          <w:tcPr>
            <w:tcW w:w="1560" w:type="dxa"/>
            <w:tcBorders>
              <w:top w:val="single" w:sz="4" w:space="0" w:color="auto"/>
              <w:left w:val="nil"/>
              <w:bottom w:val="nil"/>
              <w:right w:val="nil"/>
            </w:tcBorders>
            <w:vAlign w:val="bottom"/>
          </w:tcPr>
          <w:p w:rsidR="00A45542" w:rsidRPr="00A45542" w:rsidRDefault="00A45542" w:rsidP="00A45542">
            <w:pPr>
              <w:jc w:val="center"/>
              <w:rPr>
                <w:bCs/>
                <w:szCs w:val="22"/>
              </w:rPr>
            </w:pPr>
            <w:r w:rsidRPr="00A45542">
              <w:rPr>
                <w:bCs/>
                <w:szCs w:val="22"/>
                <w:lang w:val="en-US"/>
              </w:rPr>
              <w:t>100</w:t>
            </w:r>
            <w:r w:rsidRPr="00A45542">
              <w:rPr>
                <w:bCs/>
                <w:szCs w:val="22"/>
              </w:rPr>
              <w:t>,</w:t>
            </w:r>
            <w:r w:rsidRPr="00A45542">
              <w:rPr>
                <w:bCs/>
                <w:szCs w:val="22"/>
                <w:lang w:val="en-US"/>
              </w:rPr>
              <w:t>0</w:t>
            </w:r>
          </w:p>
        </w:tc>
      </w:tr>
      <w:tr w:rsidR="00A45542" w:rsidRPr="00A45542" w:rsidTr="000B4CAD">
        <w:trPr>
          <w:trHeight w:val="20"/>
        </w:trPr>
        <w:tc>
          <w:tcPr>
            <w:tcW w:w="6536" w:type="dxa"/>
            <w:tcBorders>
              <w:top w:val="nil"/>
              <w:left w:val="nil"/>
              <w:bottom w:val="nil"/>
              <w:right w:val="nil"/>
            </w:tcBorders>
            <w:shd w:val="clear" w:color="auto" w:fill="auto"/>
            <w:vAlign w:val="bottom"/>
          </w:tcPr>
          <w:p w:rsidR="00A45542" w:rsidRPr="00A45542" w:rsidRDefault="00A45542" w:rsidP="00A45542">
            <w:pPr>
              <w:spacing w:before="40" w:after="40"/>
              <w:rPr>
                <w:rFonts w:cs="Arial"/>
                <w:bCs/>
                <w:i/>
                <w:sz w:val="24"/>
                <w:szCs w:val="24"/>
              </w:rPr>
            </w:pPr>
            <w:r w:rsidRPr="00A45542">
              <w:rPr>
                <w:rFonts w:cs="Arial"/>
                <w:bCs/>
                <w:i/>
                <w:sz w:val="24"/>
                <w:szCs w:val="24"/>
              </w:rPr>
              <w:t>в том числе:</w:t>
            </w:r>
          </w:p>
        </w:tc>
        <w:tc>
          <w:tcPr>
            <w:tcW w:w="1418" w:type="dxa"/>
            <w:tcBorders>
              <w:top w:val="nil"/>
              <w:left w:val="nil"/>
              <w:bottom w:val="nil"/>
              <w:right w:val="nil"/>
            </w:tcBorders>
            <w:shd w:val="clear" w:color="auto" w:fill="auto"/>
            <w:noWrap/>
            <w:vAlign w:val="bottom"/>
          </w:tcPr>
          <w:p w:rsidR="00A45542" w:rsidRPr="00A45542" w:rsidRDefault="00A45542" w:rsidP="00A45542">
            <w:pPr>
              <w:jc w:val="center"/>
              <w:rPr>
                <w:bCs/>
                <w:szCs w:val="22"/>
              </w:rPr>
            </w:pPr>
            <w:r w:rsidRPr="00A45542">
              <w:rPr>
                <w:bCs/>
                <w:szCs w:val="22"/>
              </w:rPr>
              <w:t> </w:t>
            </w:r>
          </w:p>
        </w:tc>
        <w:tc>
          <w:tcPr>
            <w:tcW w:w="1560" w:type="dxa"/>
            <w:tcBorders>
              <w:top w:val="nil"/>
              <w:left w:val="nil"/>
              <w:bottom w:val="nil"/>
              <w:right w:val="nil"/>
            </w:tcBorders>
            <w:vAlign w:val="bottom"/>
          </w:tcPr>
          <w:p w:rsidR="00A45542" w:rsidRPr="00A45542" w:rsidRDefault="00A45542" w:rsidP="00A45542">
            <w:pPr>
              <w:jc w:val="center"/>
              <w:rPr>
                <w:szCs w:val="22"/>
              </w:rPr>
            </w:pPr>
            <w:r w:rsidRPr="00A45542">
              <w:rPr>
                <w:szCs w:val="22"/>
              </w:rPr>
              <w:t> </w:t>
            </w:r>
          </w:p>
        </w:tc>
      </w:tr>
      <w:tr w:rsidR="00A45542" w:rsidRPr="00A45542" w:rsidTr="000B4CAD">
        <w:trPr>
          <w:trHeight w:val="20"/>
        </w:trPr>
        <w:tc>
          <w:tcPr>
            <w:tcW w:w="6536" w:type="dxa"/>
            <w:tcBorders>
              <w:top w:val="nil"/>
              <w:left w:val="nil"/>
              <w:bottom w:val="nil"/>
              <w:right w:val="nil"/>
            </w:tcBorders>
            <w:shd w:val="clear" w:color="auto" w:fill="auto"/>
            <w:vAlign w:val="center"/>
            <w:hideMark/>
          </w:tcPr>
          <w:p w:rsidR="00A45542" w:rsidRPr="00A45542" w:rsidRDefault="00A45542" w:rsidP="00A45542">
            <w:pPr>
              <w:ind w:firstLine="0"/>
              <w:rPr>
                <w:rFonts w:cs="Arial"/>
                <w:bCs/>
                <w:sz w:val="24"/>
                <w:szCs w:val="24"/>
              </w:rPr>
            </w:pPr>
            <w:r w:rsidRPr="00A45542">
              <w:rPr>
                <w:rFonts w:cs="Arial"/>
                <w:bCs/>
                <w:sz w:val="24"/>
                <w:szCs w:val="24"/>
              </w:rPr>
              <w:t>Обрабатывающие производства</w:t>
            </w:r>
          </w:p>
        </w:tc>
        <w:tc>
          <w:tcPr>
            <w:tcW w:w="1418" w:type="dxa"/>
            <w:tcBorders>
              <w:top w:val="nil"/>
              <w:left w:val="nil"/>
              <w:bottom w:val="nil"/>
              <w:right w:val="nil"/>
            </w:tcBorders>
            <w:shd w:val="clear" w:color="auto" w:fill="auto"/>
            <w:noWrap/>
            <w:vAlign w:val="bottom"/>
            <w:hideMark/>
          </w:tcPr>
          <w:p w:rsidR="00A45542" w:rsidRPr="00A45542" w:rsidRDefault="00A45542" w:rsidP="00A45542">
            <w:pPr>
              <w:jc w:val="center"/>
              <w:rPr>
                <w:bCs/>
                <w:szCs w:val="22"/>
              </w:rPr>
            </w:pPr>
            <w:r w:rsidRPr="00A45542">
              <w:rPr>
                <w:bCs/>
                <w:szCs w:val="22"/>
              </w:rPr>
              <w:t>6,3</w:t>
            </w:r>
          </w:p>
        </w:tc>
        <w:tc>
          <w:tcPr>
            <w:tcW w:w="1560" w:type="dxa"/>
            <w:tcBorders>
              <w:top w:val="nil"/>
              <w:left w:val="nil"/>
              <w:bottom w:val="nil"/>
              <w:right w:val="nil"/>
            </w:tcBorders>
            <w:vAlign w:val="bottom"/>
          </w:tcPr>
          <w:p w:rsidR="00A45542" w:rsidRPr="00A45542" w:rsidRDefault="00A45542" w:rsidP="00A45542">
            <w:pPr>
              <w:jc w:val="center"/>
              <w:rPr>
                <w:bCs/>
                <w:szCs w:val="22"/>
              </w:rPr>
            </w:pPr>
            <w:r w:rsidRPr="00A45542">
              <w:rPr>
                <w:bCs/>
                <w:szCs w:val="22"/>
              </w:rPr>
              <w:t>8,8</w:t>
            </w:r>
          </w:p>
        </w:tc>
      </w:tr>
      <w:tr w:rsidR="00A45542" w:rsidRPr="00A45542" w:rsidTr="000B4CAD">
        <w:trPr>
          <w:trHeight w:val="20"/>
        </w:trPr>
        <w:tc>
          <w:tcPr>
            <w:tcW w:w="6536" w:type="dxa"/>
            <w:tcBorders>
              <w:top w:val="nil"/>
              <w:left w:val="nil"/>
              <w:bottom w:val="nil"/>
              <w:right w:val="nil"/>
            </w:tcBorders>
            <w:shd w:val="clear" w:color="auto" w:fill="auto"/>
            <w:vAlign w:val="center"/>
            <w:hideMark/>
          </w:tcPr>
          <w:p w:rsidR="00A45542" w:rsidRPr="00A45542" w:rsidRDefault="00A45542" w:rsidP="00A45542">
            <w:pPr>
              <w:ind w:firstLine="0"/>
              <w:rPr>
                <w:rFonts w:cs="Arial"/>
                <w:bCs/>
                <w:sz w:val="24"/>
                <w:szCs w:val="24"/>
              </w:rPr>
            </w:pPr>
            <w:r w:rsidRPr="00A45542">
              <w:rPr>
                <w:rFonts w:cs="Arial"/>
                <w:bCs/>
                <w:sz w:val="24"/>
                <w:szCs w:val="24"/>
              </w:rPr>
              <w:t>Строительство</w:t>
            </w:r>
          </w:p>
        </w:tc>
        <w:tc>
          <w:tcPr>
            <w:tcW w:w="1418" w:type="dxa"/>
            <w:tcBorders>
              <w:top w:val="nil"/>
              <w:left w:val="nil"/>
              <w:bottom w:val="nil"/>
              <w:right w:val="nil"/>
            </w:tcBorders>
            <w:shd w:val="clear" w:color="auto" w:fill="auto"/>
            <w:noWrap/>
            <w:vAlign w:val="bottom"/>
            <w:hideMark/>
          </w:tcPr>
          <w:p w:rsidR="00A45542" w:rsidRPr="00A45542" w:rsidRDefault="00A45542" w:rsidP="00A45542">
            <w:pPr>
              <w:jc w:val="center"/>
              <w:rPr>
                <w:bCs/>
                <w:szCs w:val="22"/>
              </w:rPr>
            </w:pPr>
            <w:r w:rsidRPr="00A45542">
              <w:rPr>
                <w:bCs/>
                <w:szCs w:val="22"/>
              </w:rPr>
              <w:t>3,6</w:t>
            </w:r>
          </w:p>
        </w:tc>
        <w:tc>
          <w:tcPr>
            <w:tcW w:w="1560" w:type="dxa"/>
            <w:tcBorders>
              <w:top w:val="nil"/>
              <w:left w:val="nil"/>
              <w:bottom w:val="nil"/>
              <w:right w:val="nil"/>
            </w:tcBorders>
            <w:vAlign w:val="bottom"/>
          </w:tcPr>
          <w:p w:rsidR="00A45542" w:rsidRPr="00A45542" w:rsidRDefault="00A45542" w:rsidP="00A45542">
            <w:pPr>
              <w:jc w:val="center"/>
              <w:rPr>
                <w:bCs/>
                <w:szCs w:val="22"/>
              </w:rPr>
            </w:pPr>
            <w:r w:rsidRPr="00A45542">
              <w:rPr>
                <w:bCs/>
                <w:szCs w:val="22"/>
              </w:rPr>
              <w:t>5,0</w:t>
            </w:r>
          </w:p>
        </w:tc>
      </w:tr>
      <w:tr w:rsidR="00A45542" w:rsidRPr="00A45542" w:rsidTr="000B4CAD">
        <w:trPr>
          <w:trHeight w:val="20"/>
        </w:trPr>
        <w:tc>
          <w:tcPr>
            <w:tcW w:w="6536" w:type="dxa"/>
            <w:tcBorders>
              <w:top w:val="nil"/>
              <w:left w:val="nil"/>
              <w:bottom w:val="nil"/>
              <w:right w:val="nil"/>
            </w:tcBorders>
            <w:shd w:val="clear" w:color="auto" w:fill="auto"/>
            <w:vAlign w:val="center"/>
            <w:hideMark/>
          </w:tcPr>
          <w:p w:rsidR="00A45542" w:rsidRPr="00A45542" w:rsidRDefault="00A45542" w:rsidP="00A45542">
            <w:pPr>
              <w:ind w:firstLine="0"/>
              <w:rPr>
                <w:rFonts w:cs="Arial"/>
                <w:bCs/>
                <w:sz w:val="24"/>
                <w:szCs w:val="24"/>
              </w:rPr>
            </w:pPr>
            <w:r w:rsidRPr="00A45542">
              <w:rPr>
                <w:rFonts w:cs="Arial"/>
                <w:bCs/>
                <w:sz w:val="24"/>
                <w:szCs w:val="24"/>
              </w:rPr>
              <w:t>Торговля оптовая и розничная; ремонт автотранспортных средств и мотоциклов</w:t>
            </w:r>
          </w:p>
        </w:tc>
        <w:tc>
          <w:tcPr>
            <w:tcW w:w="1418" w:type="dxa"/>
            <w:tcBorders>
              <w:top w:val="nil"/>
              <w:left w:val="nil"/>
              <w:bottom w:val="nil"/>
              <w:right w:val="nil"/>
            </w:tcBorders>
            <w:shd w:val="clear" w:color="auto" w:fill="auto"/>
            <w:noWrap/>
            <w:vAlign w:val="bottom"/>
            <w:hideMark/>
          </w:tcPr>
          <w:p w:rsidR="00A45542" w:rsidRPr="00A45542" w:rsidRDefault="00A45542" w:rsidP="00A45542">
            <w:pPr>
              <w:jc w:val="center"/>
              <w:rPr>
                <w:bCs/>
                <w:szCs w:val="22"/>
              </w:rPr>
            </w:pPr>
            <w:r w:rsidRPr="00A45542">
              <w:rPr>
                <w:bCs/>
                <w:szCs w:val="22"/>
              </w:rPr>
              <w:t>39,5</w:t>
            </w:r>
          </w:p>
        </w:tc>
        <w:tc>
          <w:tcPr>
            <w:tcW w:w="1560" w:type="dxa"/>
            <w:tcBorders>
              <w:top w:val="nil"/>
              <w:left w:val="nil"/>
              <w:bottom w:val="nil"/>
              <w:right w:val="nil"/>
            </w:tcBorders>
            <w:vAlign w:val="bottom"/>
          </w:tcPr>
          <w:p w:rsidR="00A45542" w:rsidRPr="00A45542" w:rsidRDefault="00A45542" w:rsidP="00A45542">
            <w:pPr>
              <w:jc w:val="center"/>
              <w:rPr>
                <w:bCs/>
                <w:szCs w:val="22"/>
              </w:rPr>
            </w:pPr>
            <w:r w:rsidRPr="00A45542">
              <w:rPr>
                <w:bCs/>
                <w:szCs w:val="22"/>
              </w:rPr>
              <w:t>55,0</w:t>
            </w:r>
          </w:p>
        </w:tc>
      </w:tr>
      <w:tr w:rsidR="00A45542" w:rsidRPr="00A45542" w:rsidTr="000B4CAD">
        <w:trPr>
          <w:trHeight w:val="20"/>
        </w:trPr>
        <w:tc>
          <w:tcPr>
            <w:tcW w:w="6536" w:type="dxa"/>
            <w:tcBorders>
              <w:top w:val="nil"/>
              <w:left w:val="nil"/>
              <w:bottom w:val="nil"/>
              <w:right w:val="nil"/>
            </w:tcBorders>
            <w:shd w:val="clear" w:color="auto" w:fill="auto"/>
            <w:vAlign w:val="center"/>
            <w:hideMark/>
          </w:tcPr>
          <w:p w:rsidR="00A45542" w:rsidRPr="00A45542" w:rsidRDefault="00A45542" w:rsidP="00A45542">
            <w:pPr>
              <w:ind w:firstLine="0"/>
              <w:rPr>
                <w:rFonts w:cs="Arial"/>
                <w:bCs/>
                <w:sz w:val="24"/>
                <w:szCs w:val="24"/>
              </w:rPr>
            </w:pPr>
            <w:r w:rsidRPr="00A45542">
              <w:rPr>
                <w:rFonts w:cs="Arial"/>
                <w:bCs/>
                <w:sz w:val="24"/>
                <w:szCs w:val="24"/>
              </w:rPr>
              <w:t>Транспортировка и хранение</w:t>
            </w:r>
          </w:p>
        </w:tc>
        <w:tc>
          <w:tcPr>
            <w:tcW w:w="1418" w:type="dxa"/>
            <w:tcBorders>
              <w:top w:val="nil"/>
              <w:left w:val="nil"/>
              <w:bottom w:val="nil"/>
              <w:right w:val="nil"/>
            </w:tcBorders>
            <w:shd w:val="clear" w:color="auto" w:fill="auto"/>
            <w:noWrap/>
            <w:vAlign w:val="bottom"/>
            <w:hideMark/>
          </w:tcPr>
          <w:p w:rsidR="00A45542" w:rsidRPr="00A45542" w:rsidRDefault="00A45542" w:rsidP="00A45542">
            <w:pPr>
              <w:jc w:val="center"/>
              <w:rPr>
                <w:bCs/>
                <w:szCs w:val="22"/>
              </w:rPr>
            </w:pPr>
            <w:r w:rsidRPr="00A45542">
              <w:rPr>
                <w:bCs/>
                <w:szCs w:val="22"/>
              </w:rPr>
              <w:t>3,6</w:t>
            </w:r>
          </w:p>
        </w:tc>
        <w:tc>
          <w:tcPr>
            <w:tcW w:w="1560" w:type="dxa"/>
            <w:tcBorders>
              <w:top w:val="nil"/>
              <w:left w:val="nil"/>
              <w:bottom w:val="nil"/>
              <w:right w:val="nil"/>
            </w:tcBorders>
            <w:vAlign w:val="bottom"/>
          </w:tcPr>
          <w:p w:rsidR="00A45542" w:rsidRPr="00A45542" w:rsidRDefault="00A45542" w:rsidP="00A45542">
            <w:pPr>
              <w:jc w:val="center"/>
              <w:rPr>
                <w:bCs/>
                <w:szCs w:val="22"/>
              </w:rPr>
            </w:pPr>
            <w:r w:rsidRPr="00A45542">
              <w:rPr>
                <w:bCs/>
                <w:szCs w:val="22"/>
              </w:rPr>
              <w:t>5,0</w:t>
            </w:r>
          </w:p>
        </w:tc>
      </w:tr>
      <w:tr w:rsidR="00A45542" w:rsidRPr="00A45542" w:rsidTr="000B4CAD">
        <w:trPr>
          <w:trHeight w:val="20"/>
        </w:trPr>
        <w:tc>
          <w:tcPr>
            <w:tcW w:w="6536" w:type="dxa"/>
            <w:tcBorders>
              <w:top w:val="nil"/>
              <w:left w:val="nil"/>
              <w:bottom w:val="nil"/>
              <w:right w:val="nil"/>
            </w:tcBorders>
            <w:shd w:val="clear" w:color="auto" w:fill="auto"/>
            <w:vAlign w:val="center"/>
            <w:hideMark/>
          </w:tcPr>
          <w:p w:rsidR="00A45542" w:rsidRPr="00A45542" w:rsidRDefault="00A45542" w:rsidP="00A45542">
            <w:pPr>
              <w:ind w:firstLine="0"/>
              <w:rPr>
                <w:rFonts w:cs="Arial"/>
                <w:bCs/>
                <w:sz w:val="24"/>
                <w:szCs w:val="24"/>
              </w:rPr>
            </w:pPr>
            <w:r w:rsidRPr="00A45542">
              <w:rPr>
                <w:rFonts w:cs="Arial"/>
                <w:bCs/>
                <w:sz w:val="24"/>
                <w:szCs w:val="24"/>
              </w:rPr>
              <w:t>Деятельность гостиниц и предприятий общественного питания</w:t>
            </w:r>
          </w:p>
        </w:tc>
        <w:tc>
          <w:tcPr>
            <w:tcW w:w="1418" w:type="dxa"/>
            <w:tcBorders>
              <w:top w:val="nil"/>
              <w:left w:val="nil"/>
              <w:bottom w:val="nil"/>
              <w:right w:val="nil"/>
            </w:tcBorders>
            <w:shd w:val="clear" w:color="auto" w:fill="auto"/>
            <w:noWrap/>
            <w:vAlign w:val="bottom"/>
            <w:hideMark/>
          </w:tcPr>
          <w:p w:rsidR="00A45542" w:rsidRPr="00A45542" w:rsidRDefault="00A45542" w:rsidP="00A45542">
            <w:pPr>
              <w:jc w:val="center"/>
              <w:rPr>
                <w:bCs/>
                <w:szCs w:val="22"/>
              </w:rPr>
            </w:pPr>
            <w:r w:rsidRPr="00A45542">
              <w:rPr>
                <w:bCs/>
                <w:szCs w:val="22"/>
              </w:rPr>
              <w:t>2,7</w:t>
            </w:r>
          </w:p>
        </w:tc>
        <w:tc>
          <w:tcPr>
            <w:tcW w:w="1560" w:type="dxa"/>
            <w:tcBorders>
              <w:top w:val="nil"/>
              <w:left w:val="nil"/>
              <w:bottom w:val="nil"/>
              <w:right w:val="nil"/>
            </w:tcBorders>
            <w:vAlign w:val="bottom"/>
          </w:tcPr>
          <w:p w:rsidR="00A45542" w:rsidRPr="00A45542" w:rsidRDefault="00A45542" w:rsidP="00A45542">
            <w:pPr>
              <w:jc w:val="center"/>
              <w:rPr>
                <w:bCs/>
                <w:szCs w:val="22"/>
              </w:rPr>
            </w:pPr>
            <w:r w:rsidRPr="00A45542">
              <w:rPr>
                <w:bCs/>
                <w:szCs w:val="22"/>
              </w:rPr>
              <w:t>3,7</w:t>
            </w:r>
          </w:p>
        </w:tc>
      </w:tr>
      <w:tr w:rsidR="00A45542" w:rsidRPr="00A45542" w:rsidTr="000B4CAD">
        <w:trPr>
          <w:trHeight w:val="20"/>
        </w:trPr>
        <w:tc>
          <w:tcPr>
            <w:tcW w:w="6536" w:type="dxa"/>
            <w:tcBorders>
              <w:top w:val="nil"/>
              <w:left w:val="nil"/>
              <w:bottom w:val="nil"/>
              <w:right w:val="nil"/>
            </w:tcBorders>
            <w:shd w:val="clear" w:color="auto" w:fill="auto"/>
            <w:vAlign w:val="center"/>
            <w:hideMark/>
          </w:tcPr>
          <w:p w:rsidR="00A45542" w:rsidRPr="00A45542" w:rsidRDefault="00A45542" w:rsidP="00A45542">
            <w:pPr>
              <w:ind w:firstLine="0"/>
              <w:rPr>
                <w:rFonts w:cs="Arial"/>
                <w:bCs/>
                <w:sz w:val="24"/>
                <w:szCs w:val="24"/>
              </w:rPr>
            </w:pPr>
            <w:r w:rsidRPr="00A45542">
              <w:rPr>
                <w:rFonts w:cs="Arial"/>
                <w:bCs/>
                <w:sz w:val="24"/>
                <w:szCs w:val="24"/>
              </w:rPr>
              <w:t>Деятельность по операциям с недвижимым имуществом</w:t>
            </w:r>
          </w:p>
        </w:tc>
        <w:tc>
          <w:tcPr>
            <w:tcW w:w="1418" w:type="dxa"/>
            <w:tcBorders>
              <w:top w:val="nil"/>
              <w:left w:val="nil"/>
              <w:bottom w:val="nil"/>
              <w:right w:val="nil"/>
            </w:tcBorders>
            <w:shd w:val="clear" w:color="auto" w:fill="auto"/>
            <w:noWrap/>
            <w:vAlign w:val="bottom"/>
            <w:hideMark/>
          </w:tcPr>
          <w:p w:rsidR="00A45542" w:rsidRPr="00A45542" w:rsidRDefault="00A45542" w:rsidP="00A45542">
            <w:pPr>
              <w:jc w:val="center"/>
              <w:rPr>
                <w:bCs/>
                <w:szCs w:val="22"/>
              </w:rPr>
            </w:pPr>
            <w:r w:rsidRPr="00A45542">
              <w:rPr>
                <w:bCs/>
                <w:szCs w:val="22"/>
              </w:rPr>
              <w:t>6,0</w:t>
            </w:r>
          </w:p>
        </w:tc>
        <w:tc>
          <w:tcPr>
            <w:tcW w:w="1560" w:type="dxa"/>
            <w:tcBorders>
              <w:top w:val="nil"/>
              <w:left w:val="nil"/>
              <w:bottom w:val="nil"/>
              <w:right w:val="nil"/>
            </w:tcBorders>
            <w:vAlign w:val="bottom"/>
          </w:tcPr>
          <w:p w:rsidR="00A45542" w:rsidRPr="00A45542" w:rsidRDefault="00A45542" w:rsidP="00A45542">
            <w:pPr>
              <w:jc w:val="center"/>
              <w:rPr>
                <w:bCs/>
                <w:szCs w:val="22"/>
              </w:rPr>
            </w:pPr>
            <w:r w:rsidRPr="00A45542">
              <w:rPr>
                <w:bCs/>
                <w:szCs w:val="22"/>
              </w:rPr>
              <w:t>8,4</w:t>
            </w:r>
          </w:p>
        </w:tc>
      </w:tr>
      <w:tr w:rsidR="00A45542" w:rsidRPr="00A45542" w:rsidTr="000B4CAD">
        <w:trPr>
          <w:trHeight w:val="20"/>
        </w:trPr>
        <w:tc>
          <w:tcPr>
            <w:tcW w:w="6536" w:type="dxa"/>
            <w:tcBorders>
              <w:top w:val="nil"/>
              <w:left w:val="nil"/>
              <w:bottom w:val="nil"/>
              <w:right w:val="nil"/>
            </w:tcBorders>
            <w:shd w:val="clear" w:color="auto" w:fill="auto"/>
            <w:vAlign w:val="center"/>
            <w:hideMark/>
          </w:tcPr>
          <w:p w:rsidR="00A45542" w:rsidRPr="00A45542" w:rsidRDefault="00A45542" w:rsidP="00A45542">
            <w:pPr>
              <w:ind w:firstLine="0"/>
              <w:rPr>
                <w:rFonts w:cs="Arial"/>
                <w:bCs/>
                <w:sz w:val="24"/>
                <w:szCs w:val="24"/>
              </w:rPr>
            </w:pPr>
            <w:r w:rsidRPr="00A45542">
              <w:rPr>
                <w:rFonts w:cs="Arial"/>
                <w:bCs/>
                <w:sz w:val="24"/>
                <w:szCs w:val="24"/>
              </w:rPr>
              <w:t>Деятельность профессиональная, научная и техническая</w:t>
            </w:r>
          </w:p>
        </w:tc>
        <w:tc>
          <w:tcPr>
            <w:tcW w:w="1418" w:type="dxa"/>
            <w:tcBorders>
              <w:top w:val="nil"/>
              <w:left w:val="nil"/>
              <w:bottom w:val="nil"/>
              <w:right w:val="nil"/>
            </w:tcBorders>
            <w:shd w:val="clear" w:color="auto" w:fill="auto"/>
            <w:noWrap/>
            <w:vAlign w:val="bottom"/>
            <w:hideMark/>
          </w:tcPr>
          <w:p w:rsidR="00A45542" w:rsidRPr="00A45542" w:rsidRDefault="00A45542" w:rsidP="00A45542">
            <w:pPr>
              <w:jc w:val="center"/>
              <w:rPr>
                <w:bCs/>
                <w:szCs w:val="22"/>
              </w:rPr>
            </w:pPr>
            <w:r w:rsidRPr="00A45542">
              <w:rPr>
                <w:bCs/>
                <w:szCs w:val="22"/>
              </w:rPr>
              <w:t>2,9</w:t>
            </w:r>
          </w:p>
        </w:tc>
        <w:tc>
          <w:tcPr>
            <w:tcW w:w="1560" w:type="dxa"/>
            <w:tcBorders>
              <w:top w:val="nil"/>
              <w:left w:val="nil"/>
              <w:bottom w:val="nil"/>
              <w:right w:val="nil"/>
            </w:tcBorders>
            <w:vAlign w:val="bottom"/>
          </w:tcPr>
          <w:p w:rsidR="00A45542" w:rsidRPr="00A45542" w:rsidRDefault="00A45542" w:rsidP="00A45542">
            <w:pPr>
              <w:jc w:val="center"/>
              <w:rPr>
                <w:bCs/>
                <w:szCs w:val="22"/>
              </w:rPr>
            </w:pPr>
            <w:r w:rsidRPr="00A45542">
              <w:rPr>
                <w:bCs/>
                <w:szCs w:val="22"/>
              </w:rPr>
              <w:t>4,1</w:t>
            </w:r>
          </w:p>
        </w:tc>
      </w:tr>
      <w:tr w:rsidR="00A45542" w:rsidRPr="00A45542" w:rsidTr="000B4CAD">
        <w:trPr>
          <w:trHeight w:val="20"/>
        </w:trPr>
        <w:tc>
          <w:tcPr>
            <w:tcW w:w="6536" w:type="dxa"/>
            <w:tcBorders>
              <w:top w:val="nil"/>
              <w:left w:val="nil"/>
              <w:bottom w:val="nil"/>
              <w:right w:val="nil"/>
            </w:tcBorders>
            <w:shd w:val="clear" w:color="auto" w:fill="auto"/>
            <w:vAlign w:val="center"/>
            <w:hideMark/>
          </w:tcPr>
          <w:p w:rsidR="00A45542" w:rsidRPr="00A45542" w:rsidRDefault="00A45542" w:rsidP="00A45542">
            <w:pPr>
              <w:ind w:firstLine="0"/>
              <w:rPr>
                <w:rFonts w:cs="Arial"/>
                <w:bCs/>
                <w:sz w:val="24"/>
                <w:szCs w:val="24"/>
              </w:rPr>
            </w:pPr>
            <w:r w:rsidRPr="00A45542">
              <w:rPr>
                <w:rFonts w:cs="Arial"/>
                <w:bCs/>
                <w:sz w:val="24"/>
                <w:szCs w:val="24"/>
              </w:rPr>
              <w:t>Деятельность административная и сопутствующие дополнительные услуги</w:t>
            </w:r>
          </w:p>
        </w:tc>
        <w:tc>
          <w:tcPr>
            <w:tcW w:w="1418" w:type="dxa"/>
            <w:tcBorders>
              <w:top w:val="nil"/>
              <w:left w:val="nil"/>
              <w:bottom w:val="nil"/>
              <w:right w:val="nil"/>
            </w:tcBorders>
            <w:shd w:val="clear" w:color="auto" w:fill="auto"/>
            <w:noWrap/>
            <w:vAlign w:val="bottom"/>
            <w:hideMark/>
          </w:tcPr>
          <w:p w:rsidR="00A45542" w:rsidRPr="00A45542" w:rsidRDefault="00A45542" w:rsidP="00A45542">
            <w:pPr>
              <w:jc w:val="center"/>
              <w:rPr>
                <w:bCs/>
                <w:szCs w:val="22"/>
              </w:rPr>
            </w:pPr>
            <w:r w:rsidRPr="00A45542">
              <w:rPr>
                <w:bCs/>
                <w:szCs w:val="22"/>
              </w:rPr>
              <w:t>1,0</w:t>
            </w:r>
          </w:p>
        </w:tc>
        <w:tc>
          <w:tcPr>
            <w:tcW w:w="1560" w:type="dxa"/>
            <w:tcBorders>
              <w:top w:val="nil"/>
              <w:left w:val="nil"/>
              <w:bottom w:val="nil"/>
              <w:right w:val="nil"/>
            </w:tcBorders>
            <w:vAlign w:val="bottom"/>
          </w:tcPr>
          <w:p w:rsidR="00A45542" w:rsidRPr="00A45542" w:rsidRDefault="00A45542" w:rsidP="00A45542">
            <w:pPr>
              <w:jc w:val="center"/>
              <w:rPr>
                <w:bCs/>
                <w:szCs w:val="22"/>
              </w:rPr>
            </w:pPr>
            <w:r w:rsidRPr="00A45542">
              <w:rPr>
                <w:bCs/>
                <w:szCs w:val="22"/>
              </w:rPr>
              <w:t>1,4</w:t>
            </w:r>
          </w:p>
        </w:tc>
      </w:tr>
      <w:tr w:rsidR="00A45542" w:rsidRPr="00A45542" w:rsidTr="000B4CAD">
        <w:trPr>
          <w:trHeight w:val="20"/>
        </w:trPr>
        <w:tc>
          <w:tcPr>
            <w:tcW w:w="6536" w:type="dxa"/>
            <w:tcBorders>
              <w:top w:val="nil"/>
              <w:left w:val="nil"/>
              <w:bottom w:val="nil"/>
              <w:right w:val="nil"/>
            </w:tcBorders>
            <w:shd w:val="clear" w:color="auto" w:fill="auto"/>
            <w:vAlign w:val="center"/>
            <w:hideMark/>
          </w:tcPr>
          <w:p w:rsidR="00A45542" w:rsidRPr="00A45542" w:rsidRDefault="00A45542" w:rsidP="00A45542">
            <w:pPr>
              <w:ind w:firstLine="0"/>
              <w:rPr>
                <w:rFonts w:cs="Arial"/>
                <w:bCs/>
                <w:sz w:val="24"/>
                <w:szCs w:val="24"/>
              </w:rPr>
            </w:pPr>
            <w:r w:rsidRPr="00A45542">
              <w:rPr>
                <w:rFonts w:cs="Arial"/>
                <w:bCs/>
                <w:sz w:val="24"/>
                <w:szCs w:val="24"/>
              </w:rPr>
              <w:t>Образование</w:t>
            </w:r>
          </w:p>
        </w:tc>
        <w:tc>
          <w:tcPr>
            <w:tcW w:w="1418" w:type="dxa"/>
            <w:tcBorders>
              <w:top w:val="nil"/>
              <w:left w:val="nil"/>
              <w:bottom w:val="nil"/>
              <w:right w:val="nil"/>
            </w:tcBorders>
            <w:shd w:val="clear" w:color="auto" w:fill="auto"/>
            <w:noWrap/>
            <w:vAlign w:val="bottom"/>
            <w:hideMark/>
          </w:tcPr>
          <w:p w:rsidR="00A45542" w:rsidRPr="00A45542" w:rsidRDefault="00A45542" w:rsidP="00A45542">
            <w:pPr>
              <w:jc w:val="center"/>
              <w:rPr>
                <w:bCs/>
                <w:szCs w:val="22"/>
              </w:rPr>
            </w:pPr>
            <w:r w:rsidRPr="00A45542">
              <w:rPr>
                <w:bCs/>
                <w:szCs w:val="22"/>
              </w:rPr>
              <w:t>0,7</w:t>
            </w:r>
          </w:p>
        </w:tc>
        <w:tc>
          <w:tcPr>
            <w:tcW w:w="1560" w:type="dxa"/>
            <w:tcBorders>
              <w:top w:val="nil"/>
              <w:left w:val="nil"/>
              <w:bottom w:val="nil"/>
              <w:right w:val="nil"/>
            </w:tcBorders>
            <w:vAlign w:val="bottom"/>
          </w:tcPr>
          <w:p w:rsidR="00A45542" w:rsidRPr="00A45542" w:rsidRDefault="00A45542" w:rsidP="00A45542">
            <w:pPr>
              <w:jc w:val="center"/>
              <w:rPr>
                <w:bCs/>
                <w:szCs w:val="22"/>
              </w:rPr>
            </w:pPr>
            <w:r w:rsidRPr="00A45542">
              <w:rPr>
                <w:bCs/>
                <w:szCs w:val="22"/>
              </w:rPr>
              <w:t>1,0</w:t>
            </w:r>
          </w:p>
        </w:tc>
      </w:tr>
      <w:tr w:rsidR="00A45542" w:rsidRPr="00A45542" w:rsidTr="000B4CAD">
        <w:trPr>
          <w:trHeight w:val="20"/>
        </w:trPr>
        <w:tc>
          <w:tcPr>
            <w:tcW w:w="6536" w:type="dxa"/>
            <w:tcBorders>
              <w:top w:val="nil"/>
              <w:left w:val="nil"/>
              <w:bottom w:val="nil"/>
              <w:right w:val="nil"/>
            </w:tcBorders>
            <w:shd w:val="clear" w:color="auto" w:fill="auto"/>
            <w:vAlign w:val="center"/>
          </w:tcPr>
          <w:p w:rsidR="00A45542" w:rsidRPr="00A45542" w:rsidRDefault="00A45542" w:rsidP="00A45542">
            <w:pPr>
              <w:ind w:firstLine="0"/>
              <w:rPr>
                <w:rFonts w:cs="Arial"/>
                <w:bCs/>
                <w:sz w:val="24"/>
                <w:szCs w:val="24"/>
              </w:rPr>
            </w:pPr>
            <w:r w:rsidRPr="00A45542">
              <w:rPr>
                <w:rFonts w:cs="Arial"/>
                <w:bCs/>
                <w:sz w:val="24"/>
                <w:szCs w:val="24"/>
              </w:rPr>
              <w:t>Деятельность в области здравоохранения и социальных услуг</w:t>
            </w:r>
          </w:p>
        </w:tc>
        <w:tc>
          <w:tcPr>
            <w:tcW w:w="1418" w:type="dxa"/>
            <w:tcBorders>
              <w:top w:val="nil"/>
              <w:left w:val="nil"/>
              <w:bottom w:val="nil"/>
              <w:right w:val="nil"/>
            </w:tcBorders>
            <w:shd w:val="clear" w:color="auto" w:fill="auto"/>
            <w:noWrap/>
            <w:vAlign w:val="bottom"/>
          </w:tcPr>
          <w:p w:rsidR="00A45542" w:rsidRPr="00A45542" w:rsidRDefault="00A45542" w:rsidP="00A45542">
            <w:pPr>
              <w:jc w:val="center"/>
              <w:rPr>
                <w:bCs/>
                <w:szCs w:val="22"/>
              </w:rPr>
            </w:pPr>
            <w:r w:rsidRPr="00A45542">
              <w:rPr>
                <w:bCs/>
                <w:szCs w:val="22"/>
              </w:rPr>
              <w:t>0,5</w:t>
            </w:r>
          </w:p>
        </w:tc>
        <w:tc>
          <w:tcPr>
            <w:tcW w:w="1560" w:type="dxa"/>
            <w:tcBorders>
              <w:top w:val="nil"/>
              <w:left w:val="nil"/>
              <w:bottom w:val="nil"/>
              <w:right w:val="nil"/>
            </w:tcBorders>
            <w:vAlign w:val="bottom"/>
          </w:tcPr>
          <w:p w:rsidR="00A45542" w:rsidRPr="00A45542" w:rsidRDefault="00A45542" w:rsidP="00A45542">
            <w:pPr>
              <w:jc w:val="center"/>
              <w:rPr>
                <w:bCs/>
                <w:szCs w:val="22"/>
              </w:rPr>
            </w:pPr>
            <w:r w:rsidRPr="00A45542">
              <w:rPr>
                <w:bCs/>
                <w:szCs w:val="22"/>
              </w:rPr>
              <w:t>0,6</w:t>
            </w:r>
          </w:p>
        </w:tc>
      </w:tr>
      <w:tr w:rsidR="00A45542" w:rsidRPr="00A45542" w:rsidTr="000B4CAD">
        <w:trPr>
          <w:trHeight w:val="20"/>
        </w:trPr>
        <w:tc>
          <w:tcPr>
            <w:tcW w:w="6536" w:type="dxa"/>
            <w:tcBorders>
              <w:top w:val="nil"/>
              <w:left w:val="nil"/>
              <w:bottom w:val="nil"/>
              <w:right w:val="nil"/>
            </w:tcBorders>
            <w:shd w:val="clear" w:color="auto" w:fill="auto"/>
            <w:vAlign w:val="center"/>
          </w:tcPr>
          <w:p w:rsidR="00A45542" w:rsidRPr="00A45542" w:rsidRDefault="00A45542" w:rsidP="00A45542">
            <w:pPr>
              <w:ind w:firstLine="0"/>
              <w:rPr>
                <w:rFonts w:cs="Arial"/>
                <w:bCs/>
                <w:sz w:val="24"/>
                <w:szCs w:val="24"/>
              </w:rPr>
            </w:pPr>
            <w:r w:rsidRPr="00A45542">
              <w:rPr>
                <w:rFonts w:cs="Arial"/>
                <w:bCs/>
                <w:sz w:val="24"/>
                <w:szCs w:val="24"/>
              </w:rPr>
              <w:t>Предоставление прочих видов услуг</w:t>
            </w:r>
          </w:p>
        </w:tc>
        <w:tc>
          <w:tcPr>
            <w:tcW w:w="1418" w:type="dxa"/>
            <w:tcBorders>
              <w:top w:val="nil"/>
              <w:left w:val="nil"/>
              <w:bottom w:val="nil"/>
              <w:right w:val="nil"/>
            </w:tcBorders>
            <w:shd w:val="clear" w:color="auto" w:fill="auto"/>
            <w:noWrap/>
            <w:vAlign w:val="bottom"/>
          </w:tcPr>
          <w:p w:rsidR="00A45542" w:rsidRPr="00A45542" w:rsidRDefault="00A45542" w:rsidP="00A45542">
            <w:pPr>
              <w:jc w:val="center"/>
              <w:rPr>
                <w:bCs/>
                <w:szCs w:val="22"/>
              </w:rPr>
            </w:pPr>
            <w:r w:rsidRPr="00A45542">
              <w:rPr>
                <w:bCs/>
                <w:szCs w:val="22"/>
              </w:rPr>
              <w:t>2,2</w:t>
            </w:r>
          </w:p>
        </w:tc>
        <w:tc>
          <w:tcPr>
            <w:tcW w:w="1560" w:type="dxa"/>
            <w:tcBorders>
              <w:top w:val="nil"/>
              <w:left w:val="nil"/>
              <w:bottom w:val="nil"/>
              <w:right w:val="nil"/>
            </w:tcBorders>
            <w:vAlign w:val="bottom"/>
          </w:tcPr>
          <w:p w:rsidR="00A45542" w:rsidRPr="00A45542" w:rsidRDefault="00A45542" w:rsidP="00A45542">
            <w:pPr>
              <w:jc w:val="center"/>
              <w:rPr>
                <w:bCs/>
                <w:szCs w:val="22"/>
              </w:rPr>
            </w:pPr>
            <w:r w:rsidRPr="00A45542">
              <w:rPr>
                <w:bCs/>
                <w:szCs w:val="22"/>
              </w:rPr>
              <w:t>3,1</w:t>
            </w:r>
          </w:p>
        </w:tc>
      </w:tr>
      <w:tr w:rsidR="00A45542" w:rsidRPr="00A45542" w:rsidTr="000B4CAD">
        <w:trPr>
          <w:trHeight w:val="20"/>
        </w:trPr>
        <w:tc>
          <w:tcPr>
            <w:tcW w:w="6536" w:type="dxa"/>
            <w:tcBorders>
              <w:top w:val="nil"/>
              <w:left w:val="nil"/>
              <w:bottom w:val="single" w:sz="4" w:space="0" w:color="auto"/>
              <w:right w:val="nil"/>
            </w:tcBorders>
            <w:shd w:val="clear" w:color="auto" w:fill="auto"/>
            <w:vAlign w:val="center"/>
          </w:tcPr>
          <w:p w:rsidR="00A45542" w:rsidRPr="00A45542" w:rsidRDefault="00A45542" w:rsidP="00A45542">
            <w:pPr>
              <w:ind w:firstLine="0"/>
              <w:rPr>
                <w:rFonts w:cs="Arial"/>
                <w:bCs/>
                <w:sz w:val="24"/>
                <w:szCs w:val="24"/>
              </w:rPr>
            </w:pPr>
            <w:r w:rsidRPr="00A45542">
              <w:rPr>
                <w:rFonts w:cs="Arial"/>
                <w:bCs/>
                <w:sz w:val="24"/>
                <w:szCs w:val="24"/>
              </w:rPr>
              <w:t>Прочие виды деятельности</w:t>
            </w:r>
          </w:p>
        </w:tc>
        <w:tc>
          <w:tcPr>
            <w:tcW w:w="1418" w:type="dxa"/>
            <w:tcBorders>
              <w:top w:val="nil"/>
              <w:left w:val="nil"/>
              <w:bottom w:val="single" w:sz="4" w:space="0" w:color="auto"/>
              <w:right w:val="nil"/>
            </w:tcBorders>
            <w:shd w:val="clear" w:color="auto" w:fill="auto"/>
            <w:noWrap/>
            <w:vAlign w:val="bottom"/>
          </w:tcPr>
          <w:p w:rsidR="00A45542" w:rsidRPr="00A45542" w:rsidRDefault="00A45542" w:rsidP="00A45542">
            <w:pPr>
              <w:jc w:val="center"/>
              <w:rPr>
                <w:bCs/>
                <w:szCs w:val="22"/>
              </w:rPr>
            </w:pPr>
            <w:r w:rsidRPr="00A45542">
              <w:rPr>
                <w:bCs/>
                <w:szCs w:val="22"/>
              </w:rPr>
              <w:t>2,8</w:t>
            </w:r>
          </w:p>
        </w:tc>
        <w:tc>
          <w:tcPr>
            <w:tcW w:w="1560" w:type="dxa"/>
            <w:tcBorders>
              <w:top w:val="nil"/>
              <w:left w:val="nil"/>
              <w:bottom w:val="single" w:sz="4" w:space="0" w:color="auto"/>
              <w:right w:val="nil"/>
            </w:tcBorders>
            <w:vAlign w:val="bottom"/>
          </w:tcPr>
          <w:p w:rsidR="00A45542" w:rsidRPr="00A45542" w:rsidRDefault="00A45542" w:rsidP="00A45542">
            <w:pPr>
              <w:jc w:val="center"/>
              <w:rPr>
                <w:bCs/>
                <w:szCs w:val="22"/>
              </w:rPr>
            </w:pPr>
            <w:r w:rsidRPr="00A45542">
              <w:rPr>
                <w:bCs/>
                <w:szCs w:val="22"/>
              </w:rPr>
              <w:t>3,9</w:t>
            </w:r>
          </w:p>
        </w:tc>
      </w:tr>
    </w:tbl>
    <w:p w:rsidR="00A45542" w:rsidRPr="00A45542" w:rsidRDefault="00A45542" w:rsidP="00A45542">
      <w:pPr>
        <w:autoSpaceDE w:val="0"/>
        <w:autoSpaceDN w:val="0"/>
        <w:adjustRightInd w:val="0"/>
        <w:spacing w:line="276" w:lineRule="auto"/>
        <w:ind w:firstLine="0"/>
        <w:rPr>
          <w:rFonts w:ascii="Times New Roman" w:hAnsi="Times New Roman"/>
          <w:bCs/>
          <w:szCs w:val="22"/>
          <w:vertAlign w:val="superscript"/>
        </w:rPr>
      </w:pPr>
    </w:p>
    <w:p w:rsidR="00A45542" w:rsidRPr="00A45542" w:rsidRDefault="00A45542" w:rsidP="00A45542">
      <w:pPr>
        <w:spacing w:line="276" w:lineRule="auto"/>
        <w:ind w:firstLine="567"/>
        <w:rPr>
          <w:rFonts w:cs="Arial"/>
          <w:i/>
          <w:szCs w:val="24"/>
        </w:rPr>
      </w:pPr>
    </w:p>
    <w:p w:rsidR="006C4B3F" w:rsidRPr="003D0ED7" w:rsidRDefault="002039CD" w:rsidP="003A5B74"/>
    <w:sectPr w:rsidR="006C4B3F" w:rsidRPr="003D0ED7" w:rsidSect="00122DB8">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1C5D"/>
    <w:rsid w:val="00083FD3"/>
    <w:rsid w:val="00122DB8"/>
    <w:rsid w:val="00131C5D"/>
    <w:rsid w:val="001A3607"/>
    <w:rsid w:val="002039CD"/>
    <w:rsid w:val="002B70BF"/>
    <w:rsid w:val="003A5B74"/>
    <w:rsid w:val="003D0ED7"/>
    <w:rsid w:val="007971ED"/>
    <w:rsid w:val="0095629C"/>
    <w:rsid w:val="00A45542"/>
    <w:rsid w:val="00CD37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07F95"/>
  <w15:docId w15:val="{FEE7BAFC-2CA8-455E-A845-4B4727E66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22DB8"/>
    <w:pPr>
      <w:spacing w:after="0" w:line="240" w:lineRule="auto"/>
      <w:ind w:firstLine="709"/>
      <w:jc w:val="both"/>
    </w:pPr>
    <w:rPr>
      <w:rFonts w:ascii="Arial" w:eastAsia="Times New Roman" w:hAnsi="Arial" w:cs="Times New Roman"/>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chart" Target="charts/chart1.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hPercent val="286"/>
      <c:rotY val="20"/>
      <c:depthPercent val="100"/>
      <c:rAngAx val="1"/>
    </c:view3D>
    <c:floor>
      <c:thickness val="0"/>
      <c:spPr>
        <a:solidFill>
          <a:srgbClr val="C0C0C0"/>
        </a:solidFill>
        <a:ln w="3175">
          <a:solidFill>
            <a:srgbClr val="000000"/>
          </a:solidFill>
          <a:prstDash val="solid"/>
        </a:ln>
      </c:spPr>
    </c:floor>
    <c:sideWall>
      <c:thickness val="0"/>
      <c:spPr>
        <a:noFill/>
        <a:ln w="12700">
          <a:solidFill>
            <a:srgbClr val="FFFFFF"/>
          </a:solidFill>
          <a:prstDash val="solid"/>
        </a:ln>
      </c:spPr>
    </c:sideWall>
    <c:backWall>
      <c:thickness val="0"/>
      <c:spPr>
        <a:noFill/>
        <a:ln w="12700">
          <a:solidFill>
            <a:srgbClr val="FFFFFF"/>
          </a:solidFill>
          <a:prstDash val="solid"/>
        </a:ln>
      </c:spPr>
    </c:backWall>
    <c:plotArea>
      <c:layout>
        <c:manualLayout>
          <c:layoutTarget val="inner"/>
          <c:xMode val="edge"/>
          <c:yMode val="edge"/>
          <c:x val="0.1773743016759777"/>
          <c:y val="2.2675736961451257E-2"/>
          <c:w val="0.80726256983240163"/>
          <c:h val="0.53298472602818925"/>
        </c:manualLayout>
      </c:layout>
      <c:bar3DChart>
        <c:barDir val="bar"/>
        <c:grouping val="stacked"/>
        <c:varyColors val="0"/>
        <c:ser>
          <c:idx val="0"/>
          <c:order val="0"/>
          <c:tx>
            <c:strRef>
              <c:f>Sheet1!$A$2</c:f>
              <c:strCache>
                <c:ptCount val="1"/>
                <c:pt idx="0">
                  <c:v>Промышленное производство</c:v>
                </c:pt>
              </c:strCache>
            </c:strRef>
          </c:tx>
          <c:spPr>
            <a:solidFill>
              <a:srgbClr val="9999FF"/>
            </a:solidFill>
            <a:ln w="12034">
              <a:solidFill>
                <a:srgbClr val="000000"/>
              </a:solidFill>
              <a:prstDash val="solid"/>
            </a:ln>
          </c:spPr>
          <c:invertIfNegative val="0"/>
          <c:dLbls>
            <c:numFmt formatCode="\О\с\н\о\в\н\о\й" sourceLinked="0"/>
            <c:spPr>
              <a:solidFill>
                <a:schemeClr val="bg1"/>
              </a:solidFill>
              <a:ln w="24069">
                <a:solidFill>
                  <a:schemeClr val="tx1"/>
                </a:solidFill>
              </a:ln>
            </c:spPr>
            <c:txPr>
              <a:bodyPr wrap="square" lIns="38100" tIns="19050" rIns="38100" bIns="19050" anchor="ctr">
                <a:spAutoFit/>
              </a:bodyPr>
              <a:lstStyle/>
              <a:p>
                <a:pPr>
                  <a:defRPr sz="855"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Sheet1!$B$1:$C$1</c:f>
              <c:strCache>
                <c:ptCount val="2"/>
                <c:pt idx="0">
                  <c:v>Малые
предприятия</c:v>
                </c:pt>
                <c:pt idx="1">
                  <c:v>Средние
предприятия</c:v>
                </c:pt>
              </c:strCache>
            </c:strRef>
          </c:cat>
          <c:val>
            <c:numRef>
              <c:f>Sheet1!$B$2:$C$2</c:f>
              <c:numCache>
                <c:formatCode>\О\с\н\о\в\н\о\й</c:formatCode>
                <c:ptCount val="2"/>
                <c:pt idx="0">
                  <c:v>14.3</c:v>
                </c:pt>
                <c:pt idx="1">
                  <c:v>28.4</c:v>
                </c:pt>
              </c:numCache>
            </c:numRef>
          </c:val>
          <c:extLst>
            <c:ext xmlns:c16="http://schemas.microsoft.com/office/drawing/2014/chart" uri="{C3380CC4-5D6E-409C-BE32-E72D297353CC}">
              <c16:uniqueId val="{00000000-9C56-4611-8597-9A1CB70AD274}"/>
            </c:ext>
          </c:extLst>
        </c:ser>
        <c:ser>
          <c:idx val="1"/>
          <c:order val="1"/>
          <c:tx>
            <c:strRef>
              <c:f>Sheet1!$A$3</c:f>
              <c:strCache>
                <c:ptCount val="1"/>
                <c:pt idx="0">
                  <c:v>Строительство</c:v>
                </c:pt>
              </c:strCache>
            </c:strRef>
          </c:tx>
          <c:spPr>
            <a:solidFill>
              <a:srgbClr val="993366"/>
            </a:solidFill>
            <a:ln w="12034">
              <a:solidFill>
                <a:srgbClr val="000000"/>
              </a:solidFill>
              <a:prstDash val="solid"/>
            </a:ln>
          </c:spPr>
          <c:invertIfNegative val="0"/>
          <c:dLbls>
            <c:spPr>
              <a:solidFill>
                <a:schemeClr val="bg1"/>
              </a:solidFill>
              <a:ln w="24069">
                <a:solidFill>
                  <a:schemeClr val="tx1"/>
                </a:solidFill>
              </a:ln>
            </c:spPr>
            <c:txPr>
              <a:bodyPr wrap="square" lIns="38100" tIns="19050" rIns="38100" bIns="19050" anchor="ctr">
                <a:spAutoFit/>
              </a:bodyPr>
              <a:lstStyle/>
              <a:p>
                <a:pPr>
                  <a:defRPr sz="855"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Sheet1!$B$1:$C$1</c:f>
              <c:strCache>
                <c:ptCount val="2"/>
                <c:pt idx="0">
                  <c:v>Малые
предприятия</c:v>
                </c:pt>
                <c:pt idx="1">
                  <c:v>Средние
предприятия</c:v>
                </c:pt>
              </c:strCache>
            </c:strRef>
          </c:cat>
          <c:val>
            <c:numRef>
              <c:f>Sheet1!$B$3:$C$3</c:f>
              <c:numCache>
                <c:formatCode>\О\с\н\о\в\н\о\й</c:formatCode>
                <c:ptCount val="2"/>
                <c:pt idx="0" formatCode="#,#00">
                  <c:v>10.1</c:v>
                </c:pt>
                <c:pt idx="1">
                  <c:v>14.9</c:v>
                </c:pt>
              </c:numCache>
            </c:numRef>
          </c:val>
          <c:extLst>
            <c:ext xmlns:c16="http://schemas.microsoft.com/office/drawing/2014/chart" uri="{C3380CC4-5D6E-409C-BE32-E72D297353CC}">
              <c16:uniqueId val="{00000001-9C56-4611-8597-9A1CB70AD274}"/>
            </c:ext>
          </c:extLst>
        </c:ser>
        <c:ser>
          <c:idx val="2"/>
          <c:order val="2"/>
          <c:tx>
            <c:strRef>
              <c:f>Sheet1!$A$4</c:f>
              <c:strCache>
                <c:ptCount val="1"/>
                <c:pt idx="0">
                  <c:v>Оптовая и розничная торговля</c:v>
                </c:pt>
              </c:strCache>
            </c:strRef>
          </c:tx>
          <c:spPr>
            <a:solidFill>
              <a:srgbClr val="FFFFCC"/>
            </a:solidFill>
            <a:ln w="12034">
              <a:solidFill>
                <a:srgbClr val="000000"/>
              </a:solidFill>
              <a:prstDash val="solid"/>
            </a:ln>
          </c:spPr>
          <c:invertIfNegative val="0"/>
          <c:dLbls>
            <c:numFmt formatCode="\О\с\н\о\в\н\о\й" sourceLinked="0"/>
            <c:spPr>
              <a:solidFill>
                <a:schemeClr val="bg1"/>
              </a:solidFill>
              <a:ln w="24069">
                <a:solidFill>
                  <a:schemeClr val="tx1"/>
                </a:solidFill>
              </a:ln>
            </c:spPr>
            <c:txPr>
              <a:bodyPr wrap="square" lIns="38100" tIns="19050" rIns="38100" bIns="19050" anchor="ctr">
                <a:spAutoFit/>
              </a:bodyPr>
              <a:lstStyle/>
              <a:p>
                <a:pPr>
                  <a:defRPr sz="855"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Sheet1!$B$1:$C$1</c:f>
              <c:strCache>
                <c:ptCount val="2"/>
                <c:pt idx="0">
                  <c:v>Малые
предприятия</c:v>
                </c:pt>
                <c:pt idx="1">
                  <c:v>Средние
предприятия</c:v>
                </c:pt>
              </c:strCache>
            </c:strRef>
          </c:cat>
          <c:val>
            <c:numRef>
              <c:f>Sheet1!$B$4:$C$4</c:f>
              <c:numCache>
                <c:formatCode>\О\с\н\о\в\н\о\й</c:formatCode>
                <c:ptCount val="2"/>
                <c:pt idx="0">
                  <c:v>31.9</c:v>
                </c:pt>
                <c:pt idx="1">
                  <c:v>31.2</c:v>
                </c:pt>
              </c:numCache>
            </c:numRef>
          </c:val>
          <c:extLst>
            <c:ext xmlns:c16="http://schemas.microsoft.com/office/drawing/2014/chart" uri="{C3380CC4-5D6E-409C-BE32-E72D297353CC}">
              <c16:uniqueId val="{00000002-9C56-4611-8597-9A1CB70AD274}"/>
            </c:ext>
          </c:extLst>
        </c:ser>
        <c:ser>
          <c:idx val="3"/>
          <c:order val="3"/>
          <c:tx>
            <c:strRef>
              <c:f>Sheet1!$A$5</c:f>
              <c:strCache>
                <c:ptCount val="1"/>
                <c:pt idx="0">
                  <c:v>Транспортировка и хранение</c:v>
                </c:pt>
              </c:strCache>
            </c:strRef>
          </c:tx>
          <c:spPr>
            <a:solidFill>
              <a:srgbClr val="CCFFFF"/>
            </a:solidFill>
            <a:ln w="12034">
              <a:solidFill>
                <a:srgbClr val="000000"/>
              </a:solidFill>
              <a:prstDash val="solid"/>
            </a:ln>
          </c:spPr>
          <c:invertIfNegative val="0"/>
          <c:dLbls>
            <c:dLbl>
              <c:idx val="1"/>
              <c:layout>
                <c:manualLayout>
                  <c:x val="-2.1303889684639674E-2"/>
                  <c:y val="-6.6298031578651773E-2"/>
                </c:manualLayout>
              </c:layout>
              <c:numFmt formatCode="\О\с\н\о\в\н\о\й" sourceLinked="0"/>
              <c:spPr>
                <a:solidFill>
                  <a:schemeClr val="bg1"/>
                </a:solidFill>
                <a:ln w="24069">
                  <a:solidFill>
                    <a:schemeClr val="tx1"/>
                  </a:solidFill>
                </a:ln>
              </c:spPr>
              <c:txPr>
                <a:bodyPr/>
                <a:lstStyle/>
                <a:p>
                  <a:pPr>
                    <a:defRPr sz="855"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C56-4611-8597-9A1CB70AD274}"/>
                </c:ext>
              </c:extLst>
            </c:dLbl>
            <c:numFmt formatCode="\О\с\н\о\в\н\о\й" sourceLinked="0"/>
            <c:spPr>
              <a:solidFill>
                <a:schemeClr val="bg1"/>
              </a:solidFill>
              <a:ln w="24069">
                <a:solidFill>
                  <a:schemeClr val="tx1"/>
                </a:solidFill>
              </a:ln>
            </c:spPr>
            <c:txPr>
              <a:bodyPr wrap="square" lIns="38100" tIns="19050" rIns="38100" bIns="19050" anchor="ctr">
                <a:spAutoFit/>
              </a:bodyPr>
              <a:lstStyle/>
              <a:p>
                <a:pPr>
                  <a:defRPr sz="855"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Sheet1!$B$1:$C$1</c:f>
              <c:strCache>
                <c:ptCount val="2"/>
                <c:pt idx="0">
                  <c:v>Малые
предприятия</c:v>
                </c:pt>
                <c:pt idx="1">
                  <c:v>Средние
предприятия</c:v>
                </c:pt>
              </c:strCache>
            </c:strRef>
          </c:cat>
          <c:val>
            <c:numRef>
              <c:f>Sheet1!$B$5:$C$5</c:f>
              <c:numCache>
                <c:formatCode>\О\с\н\о\в\н\о\й</c:formatCode>
                <c:ptCount val="2"/>
                <c:pt idx="0">
                  <c:v>8.1</c:v>
                </c:pt>
                <c:pt idx="1">
                  <c:v>6.6</c:v>
                </c:pt>
              </c:numCache>
            </c:numRef>
          </c:val>
          <c:extLst>
            <c:ext xmlns:c16="http://schemas.microsoft.com/office/drawing/2014/chart" uri="{C3380CC4-5D6E-409C-BE32-E72D297353CC}">
              <c16:uniqueId val="{00000004-9C56-4611-8597-9A1CB70AD274}"/>
            </c:ext>
          </c:extLst>
        </c:ser>
        <c:ser>
          <c:idx val="4"/>
          <c:order val="4"/>
          <c:tx>
            <c:strRef>
              <c:f>Sheet1!$A$6</c:f>
              <c:strCache>
                <c:ptCount val="1"/>
                <c:pt idx="0">
                  <c:v>Деятельность гостиниц и предприятий общественного питания</c:v>
                </c:pt>
              </c:strCache>
            </c:strRef>
          </c:tx>
          <c:spPr>
            <a:solidFill>
              <a:srgbClr val="660066"/>
            </a:solidFill>
            <a:ln w="12034">
              <a:solidFill>
                <a:srgbClr val="000000"/>
              </a:solidFill>
              <a:prstDash val="solid"/>
            </a:ln>
          </c:spPr>
          <c:invertIfNegative val="0"/>
          <c:dLbls>
            <c:dLbl>
              <c:idx val="0"/>
              <c:layout>
                <c:manualLayout>
                  <c:x val="-5.0180168156945702E-3"/>
                  <c:y val="-4.855874293246383E-2"/>
                </c:manualLayout>
              </c:layout>
              <c:numFmt formatCode="\О\с\н\о\в\н\о\й" sourceLinked="0"/>
              <c:spPr>
                <a:solidFill>
                  <a:schemeClr val="bg1"/>
                </a:solidFill>
                <a:ln w="24069">
                  <a:solidFill>
                    <a:schemeClr val="tx1"/>
                  </a:solidFill>
                </a:ln>
              </c:spPr>
              <c:txPr>
                <a:bodyPr/>
                <a:lstStyle/>
                <a:p>
                  <a:pPr>
                    <a:defRPr sz="855"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C56-4611-8597-9A1CB70AD274}"/>
                </c:ext>
              </c:extLst>
            </c:dLbl>
            <c:numFmt formatCode="\О\с\н\о\в\н\о\й" sourceLinked="0"/>
            <c:spPr>
              <a:solidFill>
                <a:schemeClr val="bg1"/>
              </a:solidFill>
              <a:ln w="24069">
                <a:solidFill>
                  <a:schemeClr val="tx1"/>
                </a:solidFill>
              </a:ln>
            </c:spPr>
            <c:txPr>
              <a:bodyPr wrap="square" lIns="38100" tIns="19050" rIns="38100" bIns="19050" anchor="ctr">
                <a:spAutoFit/>
              </a:bodyPr>
              <a:lstStyle/>
              <a:p>
                <a:pPr>
                  <a:defRPr sz="855"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Sheet1!$B$1:$C$1</c:f>
              <c:strCache>
                <c:ptCount val="2"/>
                <c:pt idx="0">
                  <c:v>Малые
предприятия</c:v>
                </c:pt>
                <c:pt idx="1">
                  <c:v>Средние
предприятия</c:v>
                </c:pt>
              </c:strCache>
            </c:strRef>
          </c:cat>
          <c:val>
            <c:numRef>
              <c:f>Sheet1!$B$6:$C$6</c:f>
              <c:numCache>
                <c:formatCode>\О\с\н\о\в\н\о\й</c:formatCode>
                <c:ptCount val="2"/>
                <c:pt idx="0">
                  <c:v>5.3</c:v>
                </c:pt>
                <c:pt idx="1">
                  <c:v>0</c:v>
                </c:pt>
              </c:numCache>
            </c:numRef>
          </c:val>
          <c:extLst>
            <c:ext xmlns:c16="http://schemas.microsoft.com/office/drawing/2014/chart" uri="{C3380CC4-5D6E-409C-BE32-E72D297353CC}">
              <c16:uniqueId val="{00000006-9C56-4611-8597-9A1CB70AD274}"/>
            </c:ext>
          </c:extLst>
        </c:ser>
        <c:ser>
          <c:idx val="5"/>
          <c:order val="5"/>
          <c:tx>
            <c:strRef>
              <c:f>Sheet1!$A$7</c:f>
              <c:strCache>
                <c:ptCount val="1"/>
                <c:pt idx="0">
                  <c:v>Деятельность по операциям с недвижимым имуществом</c:v>
                </c:pt>
              </c:strCache>
            </c:strRef>
          </c:tx>
          <c:spPr>
            <a:solidFill>
              <a:srgbClr val="FF8080"/>
            </a:solidFill>
            <a:ln w="12034">
              <a:solidFill>
                <a:schemeClr val="tx1"/>
              </a:solidFill>
              <a:prstDash val="solid"/>
            </a:ln>
          </c:spPr>
          <c:invertIfNegative val="0"/>
          <c:dLbls>
            <c:dLbl>
              <c:idx val="1"/>
              <c:layout>
                <c:manualLayout>
                  <c:x val="2.8089204081277919E-4"/>
                  <c:y val="8.1141693109256868E-2"/>
                </c:manualLayout>
              </c:layout>
              <c:numFmt formatCode="\О\с\н\о\в\н\о\й" sourceLinked="0"/>
              <c:spPr>
                <a:solidFill>
                  <a:schemeClr val="bg1"/>
                </a:solidFill>
                <a:ln w="24069">
                  <a:solidFill>
                    <a:schemeClr val="tx1"/>
                  </a:solidFill>
                </a:ln>
              </c:spPr>
              <c:txPr>
                <a:bodyPr/>
                <a:lstStyle/>
                <a:p>
                  <a:pPr>
                    <a:defRPr sz="855"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9C56-4611-8597-9A1CB70AD274}"/>
                </c:ext>
              </c:extLst>
            </c:dLbl>
            <c:numFmt formatCode="\О\с\н\о\в\н\о\й" sourceLinked="0"/>
            <c:spPr>
              <a:solidFill>
                <a:schemeClr val="bg1"/>
              </a:solidFill>
              <a:ln w="24069">
                <a:solidFill>
                  <a:schemeClr val="tx1"/>
                </a:solidFill>
              </a:ln>
            </c:spPr>
            <c:txPr>
              <a:bodyPr wrap="square" lIns="38100" tIns="19050" rIns="38100" bIns="19050" anchor="ctr">
                <a:spAutoFit/>
              </a:bodyPr>
              <a:lstStyle/>
              <a:p>
                <a:pPr>
                  <a:defRPr sz="855"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Sheet1!$B$1:$C$1</c:f>
              <c:strCache>
                <c:ptCount val="2"/>
                <c:pt idx="0">
                  <c:v>Малые
предприятия</c:v>
                </c:pt>
                <c:pt idx="1">
                  <c:v>Средние
предприятия</c:v>
                </c:pt>
              </c:strCache>
            </c:strRef>
          </c:cat>
          <c:val>
            <c:numRef>
              <c:f>Sheet1!$B$7:$C$7</c:f>
              <c:numCache>
                <c:formatCode>\О\с\н\о\в\н\о\й</c:formatCode>
                <c:ptCount val="2"/>
                <c:pt idx="0">
                  <c:v>7.2</c:v>
                </c:pt>
                <c:pt idx="1">
                  <c:v>0.7</c:v>
                </c:pt>
              </c:numCache>
            </c:numRef>
          </c:val>
          <c:extLst>
            <c:ext xmlns:c16="http://schemas.microsoft.com/office/drawing/2014/chart" uri="{C3380CC4-5D6E-409C-BE32-E72D297353CC}">
              <c16:uniqueId val="{00000008-9C56-4611-8597-9A1CB70AD274}"/>
            </c:ext>
          </c:extLst>
        </c:ser>
        <c:ser>
          <c:idx val="6"/>
          <c:order val="6"/>
          <c:tx>
            <c:strRef>
              <c:f>Sheet1!$A$8</c:f>
              <c:strCache>
                <c:ptCount val="1"/>
                <c:pt idx="0">
                  <c:v>Деятельность профессиональная, научная и техническая</c:v>
                </c:pt>
              </c:strCache>
            </c:strRef>
          </c:tx>
          <c:spPr>
            <a:solidFill>
              <a:srgbClr val="0066CC"/>
            </a:solidFill>
            <a:ln w="12034">
              <a:solidFill>
                <a:srgbClr val="000000"/>
              </a:solidFill>
              <a:prstDash val="solid"/>
            </a:ln>
          </c:spPr>
          <c:invertIfNegative val="0"/>
          <c:dLbls>
            <c:dLbl>
              <c:idx val="1"/>
              <c:layout>
                <c:manualLayout>
                  <c:x val="-1.014680647508707E-3"/>
                  <c:y val="-0.11391707919769939"/>
                </c:manualLayout>
              </c:layout>
              <c:numFmt formatCode="\О\с\н\о\в\н\о\й" sourceLinked="0"/>
              <c:spPr>
                <a:solidFill>
                  <a:schemeClr val="bg1"/>
                </a:solidFill>
                <a:ln w="24069">
                  <a:solidFill>
                    <a:schemeClr val="tx1"/>
                  </a:solidFill>
                </a:ln>
              </c:spPr>
              <c:txPr>
                <a:bodyPr/>
                <a:lstStyle/>
                <a:p>
                  <a:pPr>
                    <a:defRPr sz="855"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9C56-4611-8597-9A1CB70AD274}"/>
                </c:ext>
              </c:extLst>
            </c:dLbl>
            <c:numFmt formatCode="\О\с\н\о\в\н\о\й" sourceLinked="0"/>
            <c:spPr>
              <a:solidFill>
                <a:schemeClr val="bg1"/>
              </a:solidFill>
              <a:ln w="24069">
                <a:solidFill>
                  <a:schemeClr val="tx1"/>
                </a:solidFill>
              </a:ln>
            </c:spPr>
            <c:txPr>
              <a:bodyPr wrap="square" lIns="38100" tIns="19050" rIns="38100" bIns="19050" anchor="ctr">
                <a:spAutoFit/>
              </a:bodyPr>
              <a:lstStyle/>
              <a:p>
                <a:pPr>
                  <a:defRPr sz="855"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Sheet1!$B$1:$C$1</c:f>
              <c:strCache>
                <c:ptCount val="2"/>
                <c:pt idx="0">
                  <c:v>Малые
предприятия</c:v>
                </c:pt>
                <c:pt idx="1">
                  <c:v>Средние
предприятия</c:v>
                </c:pt>
              </c:strCache>
            </c:strRef>
          </c:cat>
          <c:val>
            <c:numRef>
              <c:f>Sheet1!$B$8:$C$8</c:f>
              <c:numCache>
                <c:formatCode>\О\с\н\о\в\н\о\й</c:formatCode>
                <c:ptCount val="2"/>
                <c:pt idx="0">
                  <c:v>6.5</c:v>
                </c:pt>
                <c:pt idx="1">
                  <c:v>4.4000000000000004</c:v>
                </c:pt>
              </c:numCache>
            </c:numRef>
          </c:val>
          <c:extLst>
            <c:ext xmlns:c16="http://schemas.microsoft.com/office/drawing/2014/chart" uri="{C3380CC4-5D6E-409C-BE32-E72D297353CC}">
              <c16:uniqueId val="{0000000A-9C56-4611-8597-9A1CB70AD274}"/>
            </c:ext>
          </c:extLst>
        </c:ser>
        <c:ser>
          <c:idx val="7"/>
          <c:order val="7"/>
          <c:tx>
            <c:strRef>
              <c:f>Sheet1!$A$9</c:f>
              <c:strCache>
                <c:ptCount val="1"/>
                <c:pt idx="0">
                  <c:v>Прочие виды деятельности</c:v>
                </c:pt>
              </c:strCache>
            </c:strRef>
          </c:tx>
          <c:spPr>
            <a:solidFill>
              <a:srgbClr val="CCCCFF"/>
            </a:solidFill>
            <a:ln w="12034">
              <a:solidFill>
                <a:srgbClr val="000000"/>
              </a:solidFill>
              <a:prstDash val="solid"/>
            </a:ln>
          </c:spPr>
          <c:invertIfNegative val="0"/>
          <c:dLbls>
            <c:numFmt formatCode="\О\с\н\о\в\н\о\й" sourceLinked="0"/>
            <c:spPr>
              <a:solidFill>
                <a:schemeClr val="bg1"/>
              </a:solidFill>
              <a:ln w="24069">
                <a:solidFill>
                  <a:schemeClr val="tx1"/>
                </a:solidFill>
              </a:ln>
            </c:spPr>
            <c:txPr>
              <a:bodyPr wrap="square" lIns="38100" tIns="19050" rIns="38100" bIns="19050" anchor="ctr">
                <a:spAutoFit/>
              </a:bodyPr>
              <a:lstStyle/>
              <a:p>
                <a:pPr>
                  <a:defRPr sz="855"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Sheet1!$B$1:$C$1</c:f>
              <c:strCache>
                <c:ptCount val="2"/>
                <c:pt idx="0">
                  <c:v>Малые
предприятия</c:v>
                </c:pt>
                <c:pt idx="1">
                  <c:v>Средние
предприятия</c:v>
                </c:pt>
              </c:strCache>
            </c:strRef>
          </c:cat>
          <c:val>
            <c:numRef>
              <c:f>Sheet1!$B$9:$C$9</c:f>
              <c:numCache>
                <c:formatCode>\О\с\н\о\в\н\о\й</c:formatCode>
                <c:ptCount val="2"/>
                <c:pt idx="0">
                  <c:v>16.600000000000001</c:v>
                </c:pt>
                <c:pt idx="1">
                  <c:v>13.8</c:v>
                </c:pt>
              </c:numCache>
            </c:numRef>
          </c:val>
          <c:extLst>
            <c:ext xmlns:c16="http://schemas.microsoft.com/office/drawing/2014/chart" uri="{C3380CC4-5D6E-409C-BE32-E72D297353CC}">
              <c16:uniqueId val="{0000000B-9C56-4611-8597-9A1CB70AD274}"/>
            </c:ext>
          </c:extLst>
        </c:ser>
        <c:dLbls>
          <c:showLegendKey val="0"/>
          <c:showVal val="0"/>
          <c:showCatName val="0"/>
          <c:showSerName val="0"/>
          <c:showPercent val="0"/>
          <c:showBubbleSize val="0"/>
        </c:dLbls>
        <c:gapWidth val="150"/>
        <c:gapDepth val="0"/>
        <c:shape val="cylinder"/>
        <c:axId val="146070496"/>
        <c:axId val="1"/>
        <c:axId val="0"/>
      </c:bar3DChart>
      <c:catAx>
        <c:axId val="146070496"/>
        <c:scaling>
          <c:orientation val="minMax"/>
        </c:scaling>
        <c:delete val="0"/>
        <c:axPos val="l"/>
        <c:numFmt formatCode="General" sourceLinked="1"/>
        <c:majorTickMark val="out"/>
        <c:minorTickMark val="none"/>
        <c:tickLblPos val="low"/>
        <c:spPr>
          <a:ln w="3009">
            <a:solidFill>
              <a:srgbClr val="000000"/>
            </a:solidFill>
            <a:prstDash val="solid"/>
          </a:ln>
        </c:spPr>
        <c:txPr>
          <a:bodyPr rot="0" vert="horz"/>
          <a:lstStyle/>
          <a:p>
            <a:pPr>
              <a:defRPr sz="950" b="1" i="0" u="none" strike="noStrike" baseline="0">
                <a:solidFill>
                  <a:srgbClr val="000000"/>
                </a:solidFill>
                <a:latin typeface="Arial"/>
                <a:ea typeface="Arial"/>
                <a:cs typeface="Arial"/>
              </a:defRPr>
            </a:pPr>
            <a:endParaRPr lang="ru-RU"/>
          </a:p>
        </c:txPr>
        <c:crossAx val="1"/>
        <c:crosses val="autoZero"/>
        <c:auto val="1"/>
        <c:lblAlgn val="ctr"/>
        <c:lblOffset val="100"/>
        <c:tickLblSkip val="1"/>
        <c:tickMarkSkip val="1"/>
        <c:noMultiLvlLbl val="0"/>
      </c:catAx>
      <c:valAx>
        <c:axId val="1"/>
        <c:scaling>
          <c:orientation val="minMax"/>
        </c:scaling>
        <c:delete val="1"/>
        <c:axPos val="b"/>
        <c:numFmt formatCode="\О\с\н\о\в\н\о\й" sourceLinked="1"/>
        <c:majorTickMark val="out"/>
        <c:minorTickMark val="none"/>
        <c:tickLblPos val="nextTo"/>
        <c:crossAx val="146070496"/>
        <c:crosses val="autoZero"/>
        <c:crossBetween val="between"/>
      </c:valAx>
      <c:spPr>
        <a:noFill/>
        <a:ln w="24122">
          <a:noFill/>
        </a:ln>
      </c:spPr>
    </c:plotArea>
    <c:legend>
      <c:legendPos val="b"/>
      <c:layout>
        <c:manualLayout>
          <c:xMode val="edge"/>
          <c:yMode val="edge"/>
          <c:x val="4.1856738106412196E-2"/>
          <c:y val="0.60544206761690189"/>
          <c:w val="0.91101458344197039"/>
          <c:h val="0.3877551991553464"/>
        </c:manualLayout>
      </c:layout>
      <c:overlay val="0"/>
      <c:spPr>
        <a:solidFill>
          <a:srgbClr val="FFFFFF"/>
        </a:solidFill>
        <a:ln w="3009">
          <a:noFill/>
          <a:prstDash val="solid"/>
        </a:ln>
      </c:spPr>
      <c:txPr>
        <a:bodyPr/>
        <a:lstStyle/>
        <a:p>
          <a:pPr>
            <a:defRPr sz="855" b="0" i="0" u="none" strike="noStrike" baseline="0">
              <a:solidFill>
                <a:srgbClr val="000000"/>
              </a:solidFill>
              <a:latin typeface="Arial"/>
              <a:ea typeface="Arial"/>
              <a:cs typeface="Arial"/>
            </a:defRPr>
          </a:pPr>
          <a:endParaRPr lang="ru-RU"/>
        </a:p>
      </c:txPr>
    </c:legend>
    <c:plotVisOnly val="1"/>
    <c:dispBlanksAs val="gap"/>
    <c:showDLblsOverMax val="0"/>
  </c:chart>
  <c:spPr>
    <a:noFill/>
    <a:ln>
      <a:noFill/>
    </a:ln>
  </c:spPr>
  <c:txPr>
    <a:bodyPr/>
    <a:lstStyle/>
    <a:p>
      <a:pPr>
        <a:defRPr sz="1467" b="1" i="0" u="none" strike="noStrike" baseline="0">
          <a:solidFill>
            <a:srgbClr val="000000"/>
          </a:solidFill>
          <a:latin typeface="Arial"/>
          <a:ea typeface="Arial"/>
          <a:cs typeface="Arial"/>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10</TotalTime>
  <Pages>2</Pages>
  <Words>426</Words>
  <Characters>2433</Characters>
  <Application>Microsoft Office Word</Application>
  <DocSecurity>0</DocSecurity>
  <Lines>20</Lines>
  <Paragraphs>5</Paragraphs>
  <ScaleCrop>false</ScaleCrop>
  <Company/>
  <LinksUpToDate>false</LinksUpToDate>
  <CharactersWithSpaces>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Владимир В. Лысенко</dc:creator>
  <cp:lastModifiedBy>Ремезова Ольга Сергеевна</cp:lastModifiedBy>
  <cp:revision>10</cp:revision>
  <dcterms:created xsi:type="dcterms:W3CDTF">2018-04-03T12:43:00Z</dcterms:created>
  <dcterms:modified xsi:type="dcterms:W3CDTF">2021-02-02T11:56:00Z</dcterms:modified>
</cp:coreProperties>
</file>