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EAF" w:rsidRPr="00BD6C18" w:rsidRDefault="000E1EAF" w:rsidP="000E1EAF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  <w:highlight w:val="yellow"/>
        </w:rPr>
      </w:pPr>
      <w:r w:rsidRPr="00026648">
        <w:rPr>
          <w:sz w:val="24"/>
          <w:szCs w:val="24"/>
        </w:rPr>
        <w:t>Среднесписочная численность работающих на малых и средних предприятиях</w:t>
      </w:r>
      <w:r w:rsidR="00026648" w:rsidRPr="00026648">
        <w:rPr>
          <w:sz w:val="24"/>
          <w:szCs w:val="24"/>
        </w:rPr>
        <w:t xml:space="preserve"> города по итогам 9 месяцев 2019</w:t>
      </w:r>
      <w:r w:rsidRPr="00026648">
        <w:rPr>
          <w:sz w:val="24"/>
          <w:szCs w:val="24"/>
        </w:rPr>
        <w:t xml:space="preserve"> года </w:t>
      </w:r>
      <w:r w:rsidR="00026648" w:rsidRPr="00026648">
        <w:rPr>
          <w:sz w:val="24"/>
          <w:szCs w:val="24"/>
        </w:rPr>
        <w:t>составила 73,8 тыс. человек, в том числе 62 тыс. человек было занято на малых предприятиях города и 11,8 тыс. человек – на средних предприятиях.</w:t>
      </w:r>
      <w:r w:rsidRPr="00026648">
        <w:rPr>
          <w:sz w:val="24"/>
          <w:szCs w:val="24"/>
        </w:rPr>
        <w:t xml:space="preserve"> По оценке, по </w:t>
      </w:r>
      <w:r w:rsidR="00026648" w:rsidRPr="00026648">
        <w:rPr>
          <w:sz w:val="24"/>
          <w:szCs w:val="24"/>
        </w:rPr>
        <w:t>сравнению с аналогичным периодом прошлого года численность занятых на средних предприятиях региона сократилась на 14,9 процента, а на малых предприятиях выросла на 6,1 процента.</w:t>
      </w:r>
    </w:p>
    <w:p w:rsidR="00026648" w:rsidRDefault="00026648" w:rsidP="00026648">
      <w:pPr>
        <w:widowControl w:val="0"/>
        <w:autoSpaceDE w:val="0"/>
        <w:autoSpaceDN w:val="0"/>
        <w:adjustRightInd w:val="0"/>
        <w:spacing w:line="276" w:lineRule="auto"/>
        <w:ind w:firstLine="851"/>
        <w:rPr>
          <w:sz w:val="24"/>
          <w:szCs w:val="24"/>
        </w:rPr>
      </w:pPr>
      <w:r w:rsidRPr="00706C78">
        <w:rPr>
          <w:sz w:val="24"/>
          <w:szCs w:val="24"/>
        </w:rPr>
        <w:t>Как и раньше, основная часть работающих на малых и средних предприятиях города занята в торговом секторе (31,0%) и в промышленных видах деятельности (17,7% от общей численности занятых в данном секторе экономики).</w:t>
      </w:r>
      <w:r w:rsidRPr="007679DB">
        <w:rPr>
          <w:color w:val="FF0000"/>
          <w:sz w:val="24"/>
          <w:szCs w:val="24"/>
        </w:rPr>
        <w:t xml:space="preserve"> </w:t>
      </w:r>
      <w:r w:rsidRPr="00706C78">
        <w:rPr>
          <w:sz w:val="24"/>
          <w:szCs w:val="24"/>
        </w:rPr>
        <w:t>Удельный вес занятых на малых и средних предприятиях стройиндустрии составил по итогам девяти месяцев 9,8 процента, в секторе транспортировки и хранения 7,6 процента, в сфере операций с недвижимым имуществом свыше 6 процентов.</w:t>
      </w:r>
      <w:r w:rsidRPr="00D57BB2">
        <w:rPr>
          <w:sz w:val="28"/>
          <w:szCs w:val="28"/>
        </w:rPr>
        <w:t xml:space="preserve"> </w:t>
      </w:r>
      <w:r w:rsidRPr="00D57BB2">
        <w:rPr>
          <w:sz w:val="24"/>
          <w:szCs w:val="24"/>
        </w:rPr>
        <w:t>Структура распределения численности работников малых и средних предприятий по видам экономической деятельности приведена на Рисунке.</w:t>
      </w:r>
    </w:p>
    <w:p w:rsidR="000E1EAF" w:rsidRPr="00BD6C18" w:rsidRDefault="000E1EAF" w:rsidP="000E1EAF">
      <w:pPr>
        <w:jc w:val="center"/>
        <w:rPr>
          <w:color w:val="FF0000"/>
          <w:szCs w:val="24"/>
          <w:highlight w:val="yellow"/>
        </w:rPr>
      </w:pPr>
    </w:p>
    <w:p w:rsidR="00026648" w:rsidRPr="00026648" w:rsidRDefault="00026648" w:rsidP="00026648">
      <w:pPr>
        <w:ind w:firstLine="0"/>
        <w:jc w:val="center"/>
        <w:rPr>
          <w:b/>
          <w:sz w:val="24"/>
          <w:szCs w:val="24"/>
        </w:rPr>
      </w:pPr>
      <w:proofErr w:type="gramStart"/>
      <w:r w:rsidRPr="00026648">
        <w:rPr>
          <w:sz w:val="24"/>
          <w:szCs w:val="24"/>
        </w:rPr>
        <w:t>Рисунок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Pr="00026648">
        <w:rPr>
          <w:b/>
          <w:sz w:val="24"/>
          <w:szCs w:val="24"/>
        </w:rPr>
        <w:t xml:space="preserve"> -</w:t>
      </w:r>
      <w:proofErr w:type="gramEnd"/>
      <w:r w:rsidRPr="00026648">
        <w:rPr>
          <w:b/>
          <w:sz w:val="24"/>
          <w:szCs w:val="24"/>
        </w:rPr>
        <w:t xml:space="preserve"> Среднесписочная численность работников малых (без </w:t>
      </w:r>
      <w:proofErr w:type="spellStart"/>
      <w:r w:rsidRPr="00026648">
        <w:rPr>
          <w:b/>
          <w:sz w:val="24"/>
          <w:szCs w:val="24"/>
        </w:rPr>
        <w:t>микропредприятий</w:t>
      </w:r>
      <w:proofErr w:type="spellEnd"/>
      <w:r w:rsidRPr="00026648">
        <w:rPr>
          <w:b/>
          <w:sz w:val="24"/>
          <w:szCs w:val="24"/>
        </w:rPr>
        <w:t xml:space="preserve">)  и средних предприятий г. Ростова-на-Дону                                                            по основным видам экономической деятельности </w:t>
      </w:r>
    </w:p>
    <w:p w:rsidR="00026648" w:rsidRPr="00026648" w:rsidRDefault="00026648" w:rsidP="00026648">
      <w:pPr>
        <w:ind w:firstLine="0"/>
        <w:jc w:val="center"/>
        <w:rPr>
          <w:b/>
          <w:sz w:val="24"/>
          <w:szCs w:val="24"/>
        </w:rPr>
      </w:pPr>
      <w:r w:rsidRPr="00026648">
        <w:rPr>
          <w:b/>
          <w:sz w:val="24"/>
          <w:szCs w:val="24"/>
        </w:rPr>
        <w:t xml:space="preserve">за январь-сентябрь 2019 года </w:t>
      </w:r>
    </w:p>
    <w:p w:rsidR="00026648" w:rsidRPr="00026648" w:rsidRDefault="00026648" w:rsidP="00026648">
      <w:pPr>
        <w:tabs>
          <w:tab w:val="left" w:pos="2955"/>
          <w:tab w:val="center" w:pos="4961"/>
        </w:tabs>
        <w:jc w:val="left"/>
        <w:rPr>
          <w:sz w:val="24"/>
          <w:szCs w:val="24"/>
        </w:rPr>
      </w:pPr>
      <w:r w:rsidRPr="00026648">
        <w:rPr>
          <w:b/>
          <w:sz w:val="24"/>
          <w:szCs w:val="24"/>
        </w:rPr>
        <w:tab/>
      </w:r>
      <w:r w:rsidRPr="00026648">
        <w:rPr>
          <w:sz w:val="24"/>
          <w:szCs w:val="24"/>
        </w:rPr>
        <w:t xml:space="preserve">       </w:t>
      </w:r>
      <w:proofErr w:type="gramStart"/>
      <w:r w:rsidRPr="00026648">
        <w:rPr>
          <w:sz w:val="24"/>
          <w:szCs w:val="24"/>
        </w:rPr>
        <w:t>( в</w:t>
      </w:r>
      <w:proofErr w:type="gramEnd"/>
      <w:r w:rsidRPr="00026648">
        <w:rPr>
          <w:sz w:val="24"/>
          <w:szCs w:val="24"/>
        </w:rPr>
        <w:t xml:space="preserve"> процентах)</w:t>
      </w:r>
    </w:p>
    <w:p w:rsidR="006C4B3F" w:rsidRPr="000E1EAF" w:rsidRDefault="00026648" w:rsidP="00026648">
      <w:pPr>
        <w:ind w:firstLine="0"/>
        <w:jc w:val="center"/>
      </w:pPr>
      <w:r w:rsidRPr="00026648">
        <w:rPr>
          <w:noProof/>
          <w:color w:val="FF0000"/>
          <w:sz w:val="24"/>
          <w:szCs w:val="24"/>
        </w:rPr>
        <w:drawing>
          <wp:inline distT="0" distB="0" distL="0" distR="0">
            <wp:extent cx="5868035" cy="2926080"/>
            <wp:effectExtent l="0" t="0" r="0" b="0"/>
            <wp:docPr id="1" name="Диаграмм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6C4B3F" w:rsidRPr="000E1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26648"/>
    <w:rsid w:val="000E1EAF"/>
    <w:rsid w:val="00131C5D"/>
    <w:rsid w:val="001A3607"/>
    <w:rsid w:val="0095629C"/>
    <w:rsid w:val="009971D6"/>
    <w:rsid w:val="00BD6C18"/>
    <w:rsid w:val="00C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46B7F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hPercent val="28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FFFFFF"/>
          </a:solidFill>
          <a:prstDash val="solid"/>
        </a:ln>
      </c:spPr>
    </c:sideWall>
    <c:backWall>
      <c:thickness val="0"/>
      <c:spPr>
        <a:noFill/>
        <a:ln w="12700">
          <a:solidFill>
            <a:srgbClr val="FFFFFF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73743016759777"/>
          <c:y val="2.2675736961451257E-2"/>
          <c:w val="0.80726256983240163"/>
          <c:h val="0.53298472602818925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solidFill>
              <a:srgbClr val="9999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15,0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B3-42D1-B674-6701082606A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31,7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Sheet1!$B$2:$C$2</c:f>
              <c:numCache>
                <c:formatCode>\О\с\н\о\в\н\о\й</c:formatCode>
                <c:ptCount val="2"/>
                <c:pt idx="0">
                  <c:v>14.3</c:v>
                </c:pt>
                <c:pt idx="1">
                  <c:v>28.4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B3-42D1-B674-6701082606AF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solidFill>
              <a:srgbClr val="993366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9,2</a:t>
                    </a:r>
                  </a:p>
                </c:rich>
              </c:tx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DB3-42D1-B674-6701082606A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12,6</a:t>
                    </a:r>
                  </a:p>
                </c:rich>
              </c:tx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DB3-42D1-B674-6701082606AF}"/>
                </c:ext>
              </c:extLst>
            </c:dLbl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Sheet1!$B$3:$C$3</c:f>
              <c:numCache>
                <c:formatCode>\О\с\н\о\в\н\о\й</c:formatCode>
                <c:ptCount val="2"/>
                <c:pt idx="0" formatCode="#,#00">
                  <c:v>10.1</c:v>
                </c:pt>
                <c:pt idx="1">
                  <c:v>14.9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4DB3-42D1-B674-6701082606AF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solidFill>
              <a:srgbClr val="FFFFCC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31,1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DB3-42D1-B674-6701082606A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30,6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Sheet1!$B$4:$C$4</c:f>
              <c:numCache>
                <c:formatCode>\О\с\н\о\в\н\о\й</c:formatCode>
                <c:ptCount val="2"/>
                <c:pt idx="0">
                  <c:v>31.9</c:v>
                </c:pt>
                <c:pt idx="1">
                  <c:v>31.2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DB3-42D1-B674-6701082606AF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solidFill>
              <a:srgbClr val="CCFF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7,8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DB3-42D1-B674-6701082606AF}"/>
                </c:ext>
              </c:extLst>
            </c:dLbl>
            <c:dLbl>
              <c:idx val="1"/>
              <c:layout>
                <c:manualLayout>
                  <c:x val="-2.1303889684639674E-2"/>
                  <c:y val="-6.6298031578651773E-2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6,5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Sheet1!$B$5:$C$5</c:f>
              <c:numCache>
                <c:formatCode>\О\с\н\о\в\н\о\й</c:formatCode>
                <c:ptCount val="2"/>
                <c:pt idx="0">
                  <c:v>8.1</c:v>
                </c:pt>
                <c:pt idx="1">
                  <c:v>6.6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4DB3-42D1-B674-6701082606AF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solidFill>
              <a:srgbClr val="660066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0180168156945702E-3"/>
                  <c:y val="-4.855874293246383E-2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5,1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Sheet1!$B$6:$C$6</c:f>
              <c:numCache>
                <c:formatCode>\О\с\н\о\в\н\о\й</c:formatCode>
                <c:ptCount val="2"/>
                <c:pt idx="0">
                  <c:v>5.3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4DB3-42D1-B674-6701082606AF}"/>
            </c:ext>
          </c:extLst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solidFill>
              <a:srgbClr val="FF8080"/>
            </a:solidFill>
            <a:ln w="12028">
              <a:solidFill>
                <a:schemeClr val="tx1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4DB3-42D1-B674-6701082606AF}"/>
                </c:ext>
              </c:extLst>
            </c:dLbl>
            <c:dLbl>
              <c:idx val="1"/>
              <c:layout>
                <c:manualLayout>
                  <c:x val="9.0672685683647041E-3"/>
                  <c:y val="8.1141776469860455E-2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2,7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Sheet1!$B$7:$C$7</c:f>
              <c:numCache>
                <c:formatCode>\О\с\н\о\в\н\о\й</c:formatCode>
                <c:ptCount val="2"/>
                <c:pt idx="0">
                  <c:v>7.2</c:v>
                </c:pt>
                <c:pt idx="1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4DB3-42D1-B674-6701082606AF}"/>
            </c:ext>
          </c:extLst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spPr>
            <a:solidFill>
              <a:srgbClr val="0066CC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6,9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DB3-42D1-B674-6701082606AF}"/>
                </c:ext>
              </c:extLst>
            </c:dLbl>
            <c:dLbl>
              <c:idx val="1"/>
              <c:layout>
                <c:manualLayout>
                  <c:x val="-1.014680647508707E-3"/>
                  <c:y val="-0.11391707919769939"/>
                </c:manualLayout>
              </c:layout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3,1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Sheet1!$B$8:$C$8</c:f>
              <c:numCache>
                <c:formatCode>\О\с\н\о\в\н\о\й</c:formatCode>
                <c:ptCount val="2"/>
                <c:pt idx="0">
                  <c:v>6.5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4DB3-42D1-B674-6701082606AF}"/>
            </c:ext>
          </c:extLst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Прочие виды деятельности</c:v>
                </c:pt>
              </c:strCache>
            </c:strRef>
          </c:tx>
          <c:spPr>
            <a:solidFill>
              <a:srgbClr val="CCCCFF"/>
            </a:solidFill>
            <a:ln w="1202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18,1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DB3-42D1-B674-6701082606AF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54" b="1" i="0" u="none" strike="noStrike" baseline="0">
                        <a:solidFill>
                          <a:srgbClr val="000000"/>
                        </a:solidFill>
                        <a:latin typeface="Arial"/>
                        <a:ea typeface="Arial"/>
                        <a:cs typeface="Arial"/>
                      </a:defRPr>
                    </a:pPr>
                    <a:r>
                      <a:rPr lang="en-US"/>
                      <a:t>12,8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 w="24055"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DB3-42D1-B674-6701082606AF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 w="24055"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54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Sheet1!$B$9:$C$9</c:f>
              <c:numCache>
                <c:formatCode>\О\с\н\о\в\н\о\й</c:formatCode>
                <c:ptCount val="2"/>
                <c:pt idx="0">
                  <c:v>16.600000000000001</c:v>
                </c:pt>
                <c:pt idx="1">
                  <c:v>13.8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4DB3-42D1-B674-6701082606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cylinder"/>
        <c:axId val="164934528"/>
        <c:axId val="1"/>
        <c:axId val="0"/>
      </c:bar3DChart>
      <c:catAx>
        <c:axId val="1649345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007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49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b"/>
        <c:numFmt formatCode="\О\с\н\о\в\н\о\й" sourceLinked="1"/>
        <c:majorTickMark val="out"/>
        <c:minorTickMark val="none"/>
        <c:tickLblPos val="nextTo"/>
        <c:crossAx val="164934528"/>
        <c:crosses val="autoZero"/>
        <c:crossBetween val="between"/>
      </c:valAx>
      <c:spPr>
        <a:noFill/>
        <a:ln w="24109">
          <a:noFill/>
        </a:ln>
      </c:spPr>
    </c:plotArea>
    <c:legend>
      <c:legendPos val="r"/>
      <c:layout>
        <c:manualLayout>
          <c:xMode val="edge"/>
          <c:yMode val="edge"/>
          <c:x val="4.2904290429042903E-2"/>
          <c:y val="0.66442953020134232"/>
          <c:w val="0.91089108910891092"/>
          <c:h val="0.32885906040268459"/>
        </c:manualLayout>
      </c:layout>
      <c:overlay val="0"/>
      <c:spPr>
        <a:solidFill>
          <a:srgbClr val="FFFFFF"/>
        </a:solidFill>
        <a:ln w="3007">
          <a:noFill/>
          <a:prstDash val="solid"/>
        </a:ln>
      </c:spPr>
      <c:txPr>
        <a:bodyPr/>
        <a:lstStyle/>
        <a:p>
          <a:pPr>
            <a:defRPr sz="854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66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5</cp:revision>
  <dcterms:created xsi:type="dcterms:W3CDTF">2018-04-03T12:43:00Z</dcterms:created>
  <dcterms:modified xsi:type="dcterms:W3CDTF">2021-02-02T11:11:00Z</dcterms:modified>
</cp:coreProperties>
</file>