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W w:type="auto" w:w="0"/>
        <w:jc w:val="left"/>
        <w:tblInd w:type="dxa" w:w="15"/>
        <w:tblLayout w:type="fixed"/>
        <w:tblCellMar>
          <w:top w:type="dxa" w:w="0"/>
          <w:bottom w:type="dxa" w:w="0"/>
        </w:tblCellMar>
      </w:tblPr>
      <w:tblGrid>
        <w:gridCol w:w="5387"/>
        <w:gridCol w:w="4789"/>
        <w:gridCol w:w="30"/>
        <w:gridCol w:w="23"/>
      </w:tblGrid>
      <w:tr>
        <w:tc>
          <w:tcPr>
            <w:tcW w:type="dxa" w:w="5387"/>
            <w:vMerge w:val="restart"/>
            <w:tcMar>
              <w:top w:type="dxa" w:w="0"/>
              <w:bottom w:type="dxa" w:w="0"/>
            </w:tcMar>
          </w:tcPr>
          <w:p w14:paraId="01000000">
            <w:pPr>
              <w:pStyle w:val="Style_1"/>
              <w:rPr>
                <w:b w:val="1"/>
                <w:sz w:val="28"/>
              </w:rPr>
            </w:pPr>
          </w:p>
        </w:tc>
        <w:tc>
          <w:tcPr>
            <w:tcW w:type="dxa" w:w="4789"/>
            <w:tcMar>
              <w:top w:type="dxa" w:w="0"/>
              <w:bottom w:type="dxa" w:w="0"/>
            </w:tcMar>
          </w:tcPr>
          <w:p w14:paraId="02000000">
            <w:pPr>
              <w:pStyle w:val="Style_1"/>
              <w:widowControl w:val="0"/>
              <w:spacing w:after="0" w:before="29" w:line="298" w:lineRule="exact"/>
              <w:ind/>
              <w:jc w:val="both"/>
              <w:rPr>
                <w:b w:val="1"/>
                <w:color w:val="000000"/>
                <w:sz w:val="28"/>
              </w:rPr>
            </w:pPr>
          </w:p>
        </w:tc>
        <w:tc>
          <w:tcPr>
            <w:tcW w:type="dxa" w:w="53"/>
            <w:gridSpan w:val="2"/>
            <w:vMerge w:val="restart"/>
            <w:tcMar>
              <w:top w:type="dxa" w:w="0"/>
              <w:bottom w:type="dxa" w:w="0"/>
            </w:tcMar>
          </w:tcPr>
          <w:p w14:paraId="03000000">
            <w:pPr>
              <w:pStyle w:val="Style_1"/>
              <w:widowControl w:val="0"/>
              <w:ind/>
              <w:rPr>
                <w:rFonts w:ascii="MS Sans Serif;Arial" w:hAnsi="MS Sans Serif;Arial"/>
                <w:color w:val="000000"/>
                <w:sz w:val="20"/>
              </w:rPr>
            </w:pPr>
          </w:p>
        </w:tc>
      </w:tr>
      <w:tr>
        <w:tc>
          <w:tcPr>
            <w:tcW w:type="dxa" w:w="5387"/>
            <w:gridSpan w:val="1"/>
            <w:vMerge w:val="continue"/>
            <w:tcMar>
              <w:top w:type="dxa" w:w="0"/>
              <w:bottom w:type="dxa" w:w="0"/>
            </w:tcMar>
          </w:tcPr>
          <w:p/>
        </w:tc>
        <w:tc>
          <w:tcPr>
            <w:tcW w:type="dxa" w:w="4789"/>
            <w:tcMar>
              <w:top w:type="dxa" w:w="0"/>
              <w:bottom w:type="dxa" w:w="0"/>
            </w:tcMar>
          </w:tcPr>
          <w:p w14:paraId="04000000">
            <w:pPr>
              <w:pStyle w:val="Style_1"/>
              <w:widowControl w:val="0"/>
              <w:ind/>
              <w:jc w:val="center"/>
              <w:rPr>
                <w:rFonts w:ascii="MS Sans Serif;Arial" w:hAnsi="MS Sans Serif;Arial"/>
                <w:color w:val="000000"/>
                <w:sz w:val="20"/>
              </w:rPr>
            </w:pPr>
          </w:p>
        </w:tc>
        <w:tc>
          <w:tcPr>
            <w:tcW w:type="dxa" w:w="53"/>
            <w:gridSpan w:val="2"/>
            <w:vMerge w:val="continue"/>
            <w:tcMar>
              <w:top w:type="dxa" w:w="0"/>
              <w:bottom w:type="dxa" w:w="0"/>
            </w:tcMar>
          </w:tcPr>
          <w:p/>
        </w:tc>
      </w:tr>
      <w:tr>
        <w:trPr>
          <w:trHeight w:hRule="atLeast" w:val="1281"/>
        </w:trPr>
        <w:tc>
          <w:tcPr>
            <w:tcW w:type="dxa" w:w="10206"/>
            <w:gridSpan w:val="3"/>
            <w:tcMar>
              <w:top w:type="dxa" w:w="0"/>
              <w:bottom w:type="dxa" w:w="0"/>
            </w:tcMar>
          </w:tcPr>
          <w:p w14:paraId="05000000">
            <w:pPr>
              <w:pStyle w:val="Style_1"/>
              <w:ind w:firstLine="540" w:left="0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УВЕДОМЛЕНИЕ</w:t>
            </w:r>
          </w:p>
          <w:p w14:paraId="06000000">
            <w:pPr>
              <w:pStyle w:val="Style_1"/>
              <w:widowControl w:val="0"/>
              <w:ind/>
              <w:jc w:val="center"/>
            </w:pPr>
            <w:r>
              <w:rPr>
                <w:sz w:val="28"/>
              </w:rPr>
              <w:t xml:space="preserve">о подготовке проекта постановления Администрации города Ростова-на-Дону </w:t>
            </w:r>
            <w:r>
              <w:rPr>
                <w:color w:val="FF0000"/>
                <w:sz w:val="28"/>
              </w:rPr>
              <w:br/>
            </w:r>
            <w:r>
              <w:rPr>
                <w:sz w:val="28"/>
              </w:rPr>
              <w:t xml:space="preserve">«О внесении изменений в постановление Администрации города Ростова-на-Дону от 14.06.2013 № 640 «Об определении границ прилегающих территорий к детским, образовательным, медицинским организациям, объектам спорта, оптовым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 xml:space="preserve">и розничным рынкам, вокзалам, аэропортам, местам массового скопления граждан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 xml:space="preserve">и местам нахождения источников повышенной опасности, определенных органами государственной власти Российской Федерации, объектам военного назначения,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 xml:space="preserve">на которых не допускается розничная продажа алкогольной продукции в городе Ростове-на-Дону» (ред. от </w:t>
            </w:r>
            <w:r>
              <w:rPr>
                <w:sz w:val="28"/>
              </w:rPr>
              <w:t>06</w:t>
            </w:r>
            <w:r>
              <w:rPr>
                <w:sz w:val="28"/>
              </w:rPr>
              <w:t>.1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>.202</w:t>
            </w:r>
            <w:r>
              <w:rPr>
                <w:sz w:val="28"/>
              </w:rPr>
              <w:t>5</w:t>
            </w:r>
            <w:r>
              <w:rPr>
                <w:sz w:val="28"/>
              </w:rPr>
              <w:t>)»</w:t>
            </w:r>
          </w:p>
          <w:p w14:paraId="07000000">
            <w:pPr>
              <w:pStyle w:val="Style_1"/>
              <w:ind w:firstLine="540" w:left="0"/>
              <w:jc w:val="both"/>
              <w:rPr>
                <w:sz w:val="28"/>
              </w:rPr>
            </w:pPr>
          </w:p>
          <w:p w14:paraId="08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sz w:val="28"/>
              </w:rPr>
              <w:t>Настоящим уведомлением Управление торговли и бытового обслуживания города Ростова-на-Дону извещает о начале подготовки проекта нормативного правового акта и сборе предложений заинтересованных лиц.</w:t>
            </w:r>
          </w:p>
          <w:p w14:paraId="09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0A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Предложения принимаются по адресу</w:t>
            </w:r>
            <w:r>
              <w:rPr>
                <w:sz w:val="28"/>
              </w:rPr>
              <w:t xml:space="preserve"> (344002, г. Ростов-на-Дону,                 ул. Большая Садовая, д. 47, каб. 222), а также по адресу электронной почты (</w:t>
            </w:r>
            <w:r>
              <w:rPr>
                <w:rStyle w:val="Style_2_ch"/>
                <w:sz w:val="28"/>
              </w:rPr>
              <w:fldChar w:fldCharType="begin"/>
            </w:r>
            <w:r>
              <w:rPr>
                <w:rStyle w:val="Style_2_ch"/>
                <w:sz w:val="28"/>
              </w:rPr>
              <w:instrText>HYPERLINK "mailto:trade@rostov-gorod.ru)"</w:instrText>
            </w:r>
            <w:r>
              <w:rPr>
                <w:rStyle w:val="Style_2_ch"/>
                <w:sz w:val="28"/>
              </w:rPr>
              <w:fldChar w:fldCharType="separate"/>
            </w:r>
            <w:r>
              <w:rPr>
                <w:rStyle w:val="Style_2_ch"/>
                <w:sz w:val="28"/>
              </w:rPr>
              <w:t>trade</w:t>
            </w:r>
            <w:r>
              <w:rPr>
                <w:rStyle w:val="Style_2_ch"/>
                <w:sz w:val="28"/>
              </w:rPr>
              <w:t>@</w:t>
            </w:r>
            <w:r>
              <w:rPr>
                <w:rStyle w:val="Style_2_ch"/>
                <w:sz w:val="28"/>
              </w:rPr>
              <w:t>rostov</w:t>
            </w:r>
            <w:r>
              <w:rPr>
                <w:rStyle w:val="Style_2_ch"/>
                <w:sz w:val="28"/>
              </w:rPr>
              <w:t>-</w:t>
            </w:r>
            <w:r>
              <w:rPr>
                <w:rStyle w:val="Style_2_ch"/>
                <w:sz w:val="28"/>
              </w:rPr>
              <w:t>gorod</w:t>
            </w:r>
            <w:r>
              <w:rPr>
                <w:rStyle w:val="Style_2_ch"/>
                <w:sz w:val="28"/>
              </w:rPr>
              <w:t>.</w:t>
            </w:r>
            <w:r>
              <w:rPr>
                <w:rStyle w:val="Style_2_ch"/>
                <w:sz w:val="28"/>
              </w:rPr>
              <w:t>ru</w:t>
            </w:r>
            <w:r>
              <w:rPr>
                <w:rStyle w:val="Style_2_ch"/>
                <w:sz w:val="28"/>
              </w:rPr>
              <w:t>)</w:t>
            </w:r>
            <w:r>
              <w:rPr>
                <w:rStyle w:val="Style_2_ch"/>
                <w:sz w:val="28"/>
              </w:rPr>
              <w:fldChar w:fldCharType="end"/>
            </w:r>
            <w:r>
              <w:rPr>
                <w:sz w:val="28"/>
              </w:rPr>
              <w:t xml:space="preserve">, в теме сообщения указать: «Предложения по подготовке проекта нормативно-правового акта». </w:t>
            </w:r>
          </w:p>
          <w:p w14:paraId="0B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0C000000">
            <w:pPr>
              <w:pStyle w:val="Style_1"/>
              <w:ind w:firstLine="697" w:left="0"/>
              <w:jc w:val="both"/>
            </w:pPr>
            <w:r>
              <w:rPr>
                <w:b w:val="1"/>
                <w:sz w:val="28"/>
              </w:rPr>
              <w:t>Сроки приема предложений:</w:t>
            </w:r>
            <w:r>
              <w:rPr>
                <w:sz w:val="28"/>
              </w:rPr>
              <w:t xml:space="preserve"> с </w:t>
            </w:r>
            <w:r>
              <w:rPr>
                <w:sz w:val="28"/>
              </w:rPr>
              <w:t>23</w:t>
            </w:r>
            <w:r>
              <w:rPr>
                <w:sz w:val="28"/>
              </w:rPr>
              <w:t>.0</w:t>
            </w:r>
            <w:r>
              <w:rPr>
                <w:sz w:val="28"/>
              </w:rPr>
              <w:t>9</w:t>
            </w:r>
            <w:r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по </w:t>
            </w:r>
            <w:r>
              <w:rPr>
                <w:sz w:val="28"/>
              </w:rPr>
              <w:t>13</w:t>
            </w:r>
            <w:r>
              <w:rPr>
                <w:sz w:val="28"/>
              </w:rPr>
              <w:t>.10</w:t>
            </w:r>
            <w:r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>.</w:t>
            </w:r>
          </w:p>
          <w:p w14:paraId="0D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0E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Место размещения уведомления о подготовке проекта акта в сети Интернет</w:t>
            </w:r>
            <w:r>
              <w:rPr>
                <w:sz w:val="28"/>
              </w:rPr>
              <w:t xml:space="preserve">: </w:t>
            </w:r>
            <w:r>
              <w:rPr>
                <w:rStyle w:val="Style_2_ch"/>
                <w:sz w:val="28"/>
              </w:rPr>
              <w:fldChar w:fldCharType="begin"/>
            </w:r>
            <w:r>
              <w:rPr>
                <w:rStyle w:val="Style_2_ch"/>
                <w:sz w:val="28"/>
              </w:rPr>
              <w:instrText>HYPERLINK</w:instrText>
            </w:r>
            <w:r>
              <w:rPr>
                <w:rStyle w:val="Style_2_ch"/>
                <w:sz w:val="28"/>
              </w:rPr>
              <w:fldChar w:fldCharType="separate"/>
            </w:r>
            <w:r>
              <w:rPr>
                <w:rStyle w:val="Style_2_ch"/>
                <w:sz w:val="28"/>
              </w:rPr>
              <w:t>http</w:t>
            </w:r>
            <w:r>
              <w:rPr>
                <w:rStyle w:val="Style_2_ch"/>
                <w:sz w:val="28"/>
              </w:rPr>
              <w:t>://ростовбизнес.рф/</w:t>
            </w:r>
            <w:r>
              <w:rPr>
                <w:rStyle w:val="Style_2_ch"/>
                <w:sz w:val="28"/>
              </w:rPr>
              <w:t>publications</w:t>
            </w:r>
            <w:r>
              <w:rPr>
                <w:rStyle w:val="Style_2_ch"/>
                <w:sz w:val="28"/>
              </w:rPr>
              <w:t>/</w:t>
            </w:r>
            <w:r>
              <w:rPr>
                <w:rStyle w:val="Style_2_ch"/>
                <w:sz w:val="28"/>
              </w:rPr>
              <w:fldChar w:fldCharType="end"/>
            </w:r>
            <w:r>
              <w:rPr>
                <w:sz w:val="28"/>
              </w:rPr>
              <w:t>.</w:t>
            </w:r>
          </w:p>
          <w:p w14:paraId="0F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10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Контактное лицо от разработчика правового акта</w:t>
            </w:r>
            <w:r>
              <w:rPr>
                <w:sz w:val="28"/>
              </w:rPr>
              <w:t>: начальник отдела организации торговли Управления торговли и бытового обслуживания города Ростова-на-Дону, Пастухова Виктория Раисовна, тел. (863) 240-91-69.</w:t>
            </w:r>
          </w:p>
          <w:p w14:paraId="11000000">
            <w:pPr>
              <w:pStyle w:val="Style_1"/>
              <w:ind w:firstLine="540" w:left="0"/>
              <w:jc w:val="both"/>
              <w:rPr>
                <w:sz w:val="28"/>
              </w:rPr>
            </w:pPr>
          </w:p>
          <w:p w14:paraId="12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>
              <w:rPr>
                <w:b w:val="1"/>
                <w:sz w:val="28"/>
              </w:rPr>
              <w:t>Вид нормативного правового акта</w:t>
            </w:r>
            <w:r>
              <w:rPr>
                <w:sz w:val="28"/>
              </w:rPr>
              <w:t>: проект постановления Администрации города Ростова-на-Дону.</w:t>
            </w:r>
          </w:p>
          <w:p w14:paraId="13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14000000">
            <w:pPr>
              <w:pStyle w:val="Style_1"/>
              <w:ind w:firstLine="697" w:left="0"/>
              <w:jc w:val="both"/>
            </w:pPr>
            <w:r>
              <w:rPr>
                <w:b w:val="1"/>
                <w:sz w:val="28"/>
              </w:rPr>
              <w:t>2. Наименование нормативного правового акта</w:t>
            </w:r>
            <w:r>
              <w:rPr>
                <w:sz w:val="28"/>
              </w:rPr>
              <w:t xml:space="preserve">: «О внесении изменений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 xml:space="preserve">в постановление Администрации города Ростова-на-Дону от 14.06.2013 № 640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 xml:space="preserve">«Об определении границ прилегающих территорий к детским, образовательным, медицинским организациям, объектам спорта, оптовым и розничным рынкам, вокзалам, аэропортам, местам массового скопления граждан и местам нахождения источников повышенной опасности, определенных органами государственной власти Российской Федерации, объектам военного назначения, на которых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 xml:space="preserve">не допускается розничная продажа алкогольной продукции в городе Ростове-на-Дону» (ред. От </w:t>
            </w:r>
            <w:r>
              <w:rPr>
                <w:sz w:val="28"/>
              </w:rPr>
              <w:t>06.</w:t>
            </w:r>
            <w:r>
              <w:rPr>
                <w:sz w:val="28"/>
              </w:rPr>
              <w:t>1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>.202</w:t>
            </w:r>
            <w:r>
              <w:rPr>
                <w:sz w:val="28"/>
              </w:rPr>
              <w:t>5</w:t>
            </w:r>
            <w:r>
              <w:rPr>
                <w:sz w:val="28"/>
              </w:rPr>
              <w:t>)».</w:t>
            </w:r>
          </w:p>
          <w:p w14:paraId="15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16000000">
            <w:pPr>
              <w:pStyle w:val="Style_1"/>
              <w:widowControl w:val="0"/>
              <w:ind w:firstLine="720" w:left="0"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3. Обоснование проблемы, на решение которой направлен предлагаемый способ регулирования</w:t>
            </w:r>
            <w:r>
              <w:rPr>
                <w:sz w:val="28"/>
              </w:rPr>
              <w:t xml:space="preserve">: </w:t>
            </w:r>
            <w:r>
              <w:rPr>
                <w:sz w:val="28"/>
              </w:rPr>
              <w:t>В соответствии с пунктом 1 статьи 7 Федерального закона от 22.11.1995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о</w:t>
            </w:r>
            <w:r>
              <w:rPr>
                <w:sz w:val="28"/>
                <w:highlight w:val="white"/>
              </w:rPr>
              <w:t>рганы местного самоуправления в пределах своей компетенции осуществляют контроль за соблюдением законодательства в области розничной продажи алкогольной продукции, спиртосодержащей продукции.</w:t>
            </w:r>
            <w:r>
              <w:rPr>
                <w:sz w:val="28"/>
              </w:rPr>
              <w:t xml:space="preserve"> </w:t>
            </w:r>
          </w:p>
          <w:p w14:paraId="17000000">
            <w:pPr>
              <w:pStyle w:val="Style_1"/>
              <w:widowControl w:val="0"/>
              <w:ind w:firstLine="72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соответствии с пунктом 1 статьи 6 Областного закона Ростовской области от 28.12.2005 № 441-ЗС «О государственном регулировании производства и оборота этилового спирта, алкогольной и спиртосодержащей продукции на территории Ростовской области» органы местного самоуправления в Ростовской области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 xml:space="preserve">в соответствии с Федеральным законом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>в пределах своей компетенции осуществляют контроль за соблюдением законодательства в области розничной продажи алкогольной продукции, спиртосодержащей продукции.</w:t>
            </w:r>
          </w:p>
          <w:p w14:paraId="18000000">
            <w:pPr>
              <w:pStyle w:val="Style_1"/>
              <w:widowControl w:val="0"/>
              <w:ind w:firstLine="720" w:left="0"/>
              <w:jc w:val="both"/>
              <w:rPr>
                <w:sz w:val="28"/>
              </w:rPr>
            </w:pPr>
          </w:p>
          <w:p w14:paraId="19000000">
            <w:pPr>
              <w:pStyle w:val="Style_1"/>
              <w:ind w:firstLine="697" w:left="0"/>
              <w:jc w:val="both"/>
            </w:pPr>
            <w:r>
              <w:rPr>
                <w:b w:val="1"/>
                <w:sz w:val="28"/>
              </w:rPr>
              <w:t>4. Цели регулирования и характеристика соответствующих общественных отношений, описание предлагаемого регулирования с указанием круга лиц, на которых будет распространено их действие</w:t>
            </w:r>
            <w:r>
              <w:rPr>
                <w:sz w:val="28"/>
              </w:rPr>
              <w:t>: проект направлен на актуализацию перечня детских, образовательных, медицинских организаций, объектов спорта, оптовых и розничных рынков, вокзалов, аэропортов, мест массового скопления граждан и мест нахождения источников повышенной опасности, определенных органами государственной власти Российской Федерации, объектов военного назначения, на которых не допускается розничная продажа алкогольной продукции на территории города Ростова-на-Дону на 202</w:t>
            </w:r>
            <w:r>
              <w:rPr>
                <w:sz w:val="28"/>
              </w:rPr>
              <w:t xml:space="preserve">6 </w:t>
            </w:r>
            <w:r>
              <w:rPr>
                <w:sz w:val="28"/>
              </w:rPr>
              <w:t>год.</w:t>
            </w:r>
          </w:p>
          <w:p w14:paraId="1A000000">
            <w:pPr>
              <w:pStyle w:val="Style_1"/>
              <w:ind w:firstLine="709" w:left="0"/>
              <w:jc w:val="both"/>
              <w:rPr>
                <w:sz w:val="28"/>
              </w:rPr>
            </w:pPr>
            <w:r>
              <w:rPr>
                <w:sz w:val="28"/>
              </w:rPr>
              <w:t>Иных возможных способов решения проблемы нет.</w:t>
            </w:r>
          </w:p>
          <w:p w14:paraId="1B000000">
            <w:pPr>
              <w:pStyle w:val="Style_1"/>
              <w:ind w:firstLine="697" w:left="0"/>
              <w:jc w:val="both"/>
              <w:rPr>
                <w:sz w:val="28"/>
              </w:rPr>
            </w:pPr>
            <w:r>
              <w:rPr>
                <w:sz w:val="28"/>
              </w:rPr>
              <w:t>Круг лиц, на которых будет распространено действие указанного проекта постановления: юридические лица, индивидуальные предприниматели, физические лица.</w:t>
            </w:r>
          </w:p>
          <w:p w14:paraId="1C000000">
            <w:pPr>
              <w:pStyle w:val="Style_1"/>
              <w:ind w:firstLine="697" w:left="0"/>
              <w:jc w:val="both"/>
              <w:rPr>
                <w:sz w:val="28"/>
              </w:rPr>
            </w:pPr>
          </w:p>
          <w:p w14:paraId="1D000000">
            <w:pPr>
              <w:pStyle w:val="Style_1"/>
              <w:ind w:firstLine="697" w:left="0"/>
              <w:jc w:val="both"/>
              <w:rPr>
                <w:color w:val="000000"/>
                <w:sz w:val="28"/>
              </w:rPr>
            </w:pPr>
            <w:r>
              <w:rPr>
                <w:b w:val="1"/>
                <w:sz w:val="28"/>
              </w:rPr>
              <w:t>5.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</w:t>
            </w:r>
            <w:r>
              <w:rPr>
                <w:sz w:val="28"/>
              </w:rPr>
              <w:t>: 3 квартал 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года.</w:t>
            </w:r>
          </w:p>
        </w:tc>
        <w:tc>
          <w:tcPr>
            <w:tcW w:type="dxa" w:w="23"/>
            <w:tcMar>
              <w:top w:type="dxa" w:w="0"/>
              <w:bottom w:type="dxa" w:w="0"/>
            </w:tcMar>
          </w:tcPr>
          <w:p w14:paraId="1E000000">
            <w:pPr>
              <w:pStyle w:val="Style_1"/>
              <w:rPr>
                <w:rFonts w:ascii="MS Sans Serif;Arial" w:hAnsi="MS Sans Serif;Arial"/>
                <w:color w:val="000000"/>
                <w:sz w:val="28"/>
              </w:rPr>
            </w:pPr>
          </w:p>
        </w:tc>
      </w:tr>
    </w:tbl>
    <w:p w14:paraId="1F000000">
      <w:pPr>
        <w:pStyle w:val="Style_1"/>
      </w:pPr>
    </w:p>
    <w:sectPr>
      <w:type w:val="nextPage"/>
      <w:pgSz w:h="16867" w:orient="portrait" w:w="11906"/>
      <w:pgMar w:bottom="567" w:footer="0" w:gutter="0" w:header="0" w:left="1128" w:right="567" w:top="1128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PT Astra Serif" w:hAnsi="PT Astra Serif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ind/>
    </w:pPr>
    <w:rPr>
      <w:rFonts w:ascii="Times New Roman" w:hAnsi="Times New Roman"/>
      <w:color w:val="00000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z w:val="24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ody Text"/>
    <w:basedOn w:val="Style_1"/>
    <w:link w:val="Style_7_ch"/>
    <w:pPr>
      <w:spacing w:after="140" w:before="0" w:line="276" w:lineRule="auto"/>
      <w:ind/>
    </w:pPr>
  </w:style>
  <w:style w:styleId="Style_7_ch" w:type="character">
    <w:name w:val="Body Text"/>
    <w:basedOn w:val="Style_1_ch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Char Char Знак Знак Char Char Знак Знак Знак"/>
    <w:basedOn w:val="Style_1"/>
    <w:link w:val="Style_10_ch"/>
    <w:rPr>
      <w:rFonts w:ascii="Verdana" w:hAnsi="Verdana"/>
      <w:sz w:val="20"/>
    </w:rPr>
  </w:style>
  <w:style w:styleId="Style_10_ch" w:type="character">
    <w:name w:val="Char Char Знак Знак Char Char Знак Знак Знак"/>
    <w:basedOn w:val="Style_1_ch"/>
    <w:link w:val="Style_10"/>
    <w:rPr>
      <w:rFonts w:ascii="Verdana" w:hAnsi="Verdana"/>
      <w:sz w:val="20"/>
    </w:rPr>
  </w:style>
  <w:style w:styleId="Style_11" w:type="paragraph">
    <w:name w:val="Заголовок"/>
    <w:basedOn w:val="Style_1"/>
    <w:next w:val="Style_7"/>
    <w:link w:val="Style_11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11_ch" w:type="character">
    <w:name w:val="Заголовок"/>
    <w:basedOn w:val="Style_1_ch"/>
    <w:link w:val="Style_11"/>
    <w:rPr>
      <w:rFonts w:ascii="PT Astra Serif" w:hAnsi="PT Astra Serif"/>
      <w:sz w:val="28"/>
    </w:rPr>
  </w:style>
  <w:style w:styleId="Style_12" w:type="paragraph">
    <w:name w:val="Заголовок таблицы"/>
    <w:basedOn w:val="Style_13"/>
    <w:link w:val="Style_12_ch"/>
    <w:pPr>
      <w:ind/>
      <w:jc w:val="center"/>
    </w:pPr>
    <w:rPr>
      <w:b w:val="1"/>
    </w:rPr>
  </w:style>
  <w:style w:styleId="Style_12_ch" w:type="character">
    <w:name w:val="Заголовок таблицы"/>
    <w:basedOn w:val="Style_13_ch"/>
    <w:link w:val="Style_12"/>
    <w:rPr>
      <w:b w:val="1"/>
    </w:rPr>
  </w:style>
  <w:style w:styleId="Style_14" w:type="paragraph">
    <w:name w:val="Указатель"/>
    <w:basedOn w:val="Style_1"/>
    <w:link w:val="Style_14_ch"/>
    <w:rPr>
      <w:rFonts w:ascii="PT Astra Serif" w:hAnsi="PT Astra Serif"/>
    </w:rPr>
  </w:style>
  <w:style w:styleId="Style_14_ch" w:type="character">
    <w:name w:val="Указатель"/>
    <w:basedOn w:val="Style_1_ch"/>
    <w:link w:val="Style_14"/>
    <w:rPr>
      <w:rFonts w:ascii="PT Astra Serif" w:hAnsi="PT Astra Serif"/>
    </w:rPr>
  </w:style>
  <w:style w:styleId="Style_15" w:type="paragraph">
    <w:name w:val="toc 3"/>
    <w:next w:val="Style_1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ConsPlusNormal"/>
    <w:link w:val="Style_16_ch"/>
    <w:pPr>
      <w:widowControl w:val="1"/>
      <w:ind w:firstLine="720" w:left="0"/>
    </w:pPr>
    <w:rPr>
      <w:rFonts w:ascii="Arial" w:hAnsi="Arial"/>
      <w:color w:val="000000"/>
      <w:sz w:val="20"/>
    </w:rPr>
  </w:style>
  <w:style w:styleId="Style_16_ch" w:type="character">
    <w:name w:val="ConsPlusNormal"/>
    <w:link w:val="Style_16"/>
    <w:rPr>
      <w:rFonts w:ascii="Arial" w:hAnsi="Arial"/>
      <w:color w:val="000000"/>
      <w:sz w:val="20"/>
    </w:rPr>
  </w:style>
  <w:style w:styleId="Style_17" w:type="paragraph">
    <w:name w:val="heading 5"/>
    <w:next w:val="Style_1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1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1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WW8Num1z0"/>
    <w:link w:val="Style_22_ch"/>
  </w:style>
  <w:style w:styleId="Style_22_ch" w:type="character">
    <w:name w:val="WW8Num1z0"/>
    <w:link w:val="Style_22"/>
  </w:style>
  <w:style w:styleId="Style_23" w:type="paragraph">
    <w:name w:val="toc 9"/>
    <w:next w:val="Style_1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1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Основной шрифт абзаца"/>
    <w:link w:val="Style_25_ch"/>
  </w:style>
  <w:style w:styleId="Style_25_ch" w:type="character">
    <w:name w:val="Основной шрифт абзаца"/>
    <w:link w:val="Style_25"/>
  </w:style>
  <w:style w:styleId="Style_13" w:type="paragraph">
    <w:name w:val="Содержимое таблицы"/>
    <w:basedOn w:val="Style_1"/>
    <w:link w:val="Style_13_ch"/>
    <w:pPr>
      <w:widowControl w:val="0"/>
      <w:ind/>
    </w:pPr>
  </w:style>
  <w:style w:styleId="Style_13_ch" w:type="character">
    <w:name w:val="Содержимое таблицы"/>
    <w:basedOn w:val="Style_1_ch"/>
    <w:link w:val="Style_13"/>
  </w:style>
  <w:style w:styleId="Style_26" w:type="paragraph">
    <w:name w:val="Caption"/>
    <w:basedOn w:val="Style_1"/>
    <w:link w:val="Style_26_ch"/>
    <w:pPr>
      <w:spacing w:after="120" w:before="120"/>
      <w:ind/>
    </w:pPr>
    <w:rPr>
      <w:rFonts w:ascii="PT Astra Serif" w:hAnsi="PT Astra Serif"/>
      <w:i w:val="1"/>
      <w:sz w:val="24"/>
    </w:rPr>
  </w:style>
  <w:style w:styleId="Style_26_ch" w:type="character">
    <w:name w:val="Caption"/>
    <w:basedOn w:val="Style_1_ch"/>
    <w:link w:val="Style_26"/>
    <w:rPr>
      <w:rFonts w:ascii="PT Astra Serif" w:hAnsi="PT Astra Serif"/>
      <w:i w:val="1"/>
      <w:sz w:val="24"/>
    </w:rPr>
  </w:style>
  <w:style w:styleId="Style_27" w:type="paragraph">
    <w:name w:val="toc 5"/>
    <w:next w:val="Style_1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1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List"/>
    <w:basedOn w:val="Style_7"/>
    <w:link w:val="Style_29_ch"/>
    <w:rPr>
      <w:rFonts w:ascii="PT Astra Serif" w:hAnsi="PT Astra Serif"/>
    </w:rPr>
  </w:style>
  <w:style w:styleId="Style_29_ch" w:type="character">
    <w:name w:val="List"/>
    <w:basedOn w:val="Style_7_ch"/>
    <w:link w:val="Style_29"/>
    <w:rPr>
      <w:rFonts w:ascii="PT Astra Serif" w:hAnsi="PT Astra Serif"/>
    </w:rPr>
  </w:style>
  <w:style w:styleId="Style_30" w:type="paragraph">
    <w:name w:val="Title"/>
    <w:next w:val="Style_1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1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2026-09-21T13:01:33Z</dcterms:modified>
</cp:coreProperties>
</file>