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 w:firstLine="708" w:left="4248" w:right="-1"/>
        <w:jc w:val="center"/>
        <w:rPr>
          <w:sz w:val="28"/>
        </w:rPr>
      </w:pPr>
      <w:r>
        <w:rPr>
          <w:sz w:val="28"/>
        </w:rPr>
        <w:t xml:space="preserve">            Приложение     </w:t>
      </w:r>
    </w:p>
    <w:p w14:paraId="04000000">
      <w:pPr>
        <w:widowControl w:val="1"/>
        <w:ind w:firstLine="5529"/>
        <w:jc w:val="center"/>
        <w:rPr>
          <w:sz w:val="28"/>
        </w:rPr>
      </w:pPr>
      <w:r>
        <w:rPr>
          <w:sz w:val="28"/>
        </w:rPr>
        <w:t xml:space="preserve">к распоряжению </w:t>
      </w:r>
      <w:r>
        <w:rPr>
          <w:sz w:val="28"/>
        </w:rPr>
        <w:t xml:space="preserve">администрации </w:t>
      </w:r>
    </w:p>
    <w:p w14:paraId="05000000">
      <w:pPr>
        <w:widowControl w:val="1"/>
        <w:ind w:firstLine="5529"/>
        <w:jc w:val="center"/>
        <w:rPr>
          <w:sz w:val="28"/>
        </w:rPr>
      </w:pPr>
      <w:r>
        <w:rPr>
          <w:sz w:val="28"/>
        </w:rPr>
        <w:t>Кировского района</w:t>
      </w:r>
      <w:r>
        <w:rPr>
          <w:sz w:val="28"/>
        </w:rPr>
        <w:t xml:space="preserve"> </w:t>
      </w:r>
    </w:p>
    <w:p w14:paraId="06000000">
      <w:pPr>
        <w:widowControl w:val="1"/>
        <w:ind w:firstLine="5529"/>
        <w:jc w:val="center"/>
        <w:rPr>
          <w:sz w:val="28"/>
        </w:rPr>
      </w:pPr>
      <w:r>
        <w:rPr>
          <w:sz w:val="28"/>
        </w:rPr>
        <w:t>г</w:t>
      </w:r>
      <w:r>
        <w:rPr>
          <w:sz w:val="28"/>
        </w:rPr>
        <w:t>орода</w:t>
      </w:r>
      <w:r>
        <w:rPr>
          <w:sz w:val="28"/>
        </w:rPr>
        <w:t xml:space="preserve"> </w:t>
      </w:r>
      <w:r>
        <w:rPr>
          <w:sz w:val="28"/>
        </w:rPr>
        <w:t>Ростова-на-Дону</w:t>
      </w:r>
      <w:r>
        <w:rPr>
          <w:sz w:val="28"/>
        </w:rPr>
        <w:t xml:space="preserve"> </w:t>
      </w:r>
    </w:p>
    <w:p w14:paraId="07000000">
      <w:pPr>
        <w:widowControl w:val="1"/>
        <w:ind w:firstLine="5529"/>
        <w:jc w:val="center"/>
        <w:rPr>
          <w:sz w:val="28"/>
        </w:rPr>
      </w:pPr>
      <w:r>
        <w:rPr>
          <w:sz w:val="28"/>
        </w:rPr>
        <w:t>от_____________№_________</w:t>
      </w:r>
    </w:p>
    <w:p w14:paraId="08000000">
      <w:pPr>
        <w:widowControl w:val="1"/>
        <w:ind/>
        <w:jc w:val="right"/>
        <w:rPr>
          <w:sz w:val="28"/>
        </w:rPr>
      </w:pPr>
    </w:p>
    <w:p w14:paraId="09000000">
      <w:pPr>
        <w:widowControl w:val="1"/>
        <w:spacing w:line="240" w:lineRule="exact"/>
        <w:ind/>
        <w:jc w:val="center"/>
        <w:rPr>
          <w:b w:val="1"/>
          <w:sz w:val="28"/>
        </w:rPr>
      </w:pPr>
      <w:r>
        <w:rPr>
          <w:b w:val="1"/>
          <w:sz w:val="28"/>
        </w:rPr>
        <w:t>ПРОГРАММА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профилактики </w:t>
      </w:r>
      <w:r>
        <w:rPr>
          <w:b w:val="1"/>
          <w:sz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>
        <w:rPr>
          <w:b w:val="1"/>
          <w:sz w:val="28"/>
        </w:rPr>
        <w:t>на 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год</w:t>
      </w:r>
    </w:p>
    <w:p w14:paraId="0A000000">
      <w:pPr>
        <w:widowControl w:val="1"/>
        <w:spacing w:line="300" w:lineRule="exact"/>
        <w:ind/>
        <w:jc w:val="center"/>
        <w:rPr>
          <w:sz w:val="28"/>
        </w:rPr>
      </w:pPr>
    </w:p>
    <w:p w14:paraId="0B000000">
      <w:pPr>
        <w:widowControl w:val="1"/>
        <w:ind/>
        <w:jc w:val="center"/>
        <w:rPr>
          <w:b w:val="1"/>
          <w:sz w:val="28"/>
        </w:rPr>
      </w:pPr>
      <w:r>
        <w:rPr>
          <w:b w:val="1"/>
          <w:color w:val="010101"/>
          <w:sz w:val="28"/>
        </w:rPr>
        <w:t xml:space="preserve">1. </w:t>
      </w:r>
      <w:r>
        <w:rPr>
          <w:b w:val="1"/>
          <w:sz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14:paraId="0C000000">
      <w:pPr>
        <w:widowControl w:val="1"/>
        <w:ind/>
        <w:jc w:val="center"/>
        <w:rPr>
          <w:b w:val="1"/>
          <w:sz w:val="28"/>
        </w:rPr>
      </w:pPr>
    </w:p>
    <w:p w14:paraId="0D000000">
      <w:pPr>
        <w:widowControl w:val="1"/>
        <w:ind w:firstLine="709"/>
        <w:jc w:val="both"/>
        <w:rPr>
          <w:sz w:val="28"/>
        </w:rPr>
      </w:pPr>
      <w:r>
        <w:rPr>
          <w:color w:val="010101"/>
          <w:sz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>
        <w:rPr>
          <w:sz w:val="28"/>
        </w:rPr>
        <w:t>на территории Кировского района города Ростова-на-Дону</w:t>
      </w:r>
      <w:r>
        <w:rPr>
          <w:sz w:val="28"/>
        </w:rPr>
        <w:t>.</w:t>
      </w:r>
    </w:p>
    <w:p w14:paraId="0E000000">
      <w:pPr>
        <w:widowControl w:val="1"/>
        <w:spacing w:beforeAutospacing="on"/>
        <w:ind/>
        <w:jc w:val="center"/>
        <w:rPr>
          <w:color w:val="010101"/>
          <w:sz w:val="28"/>
        </w:rPr>
      </w:pPr>
      <w:r>
        <w:rPr>
          <w:b w:val="1"/>
          <w:color w:val="010101"/>
          <w:sz w:val="28"/>
        </w:rPr>
        <w:t>2. Аналитическая часть Программы </w:t>
      </w:r>
    </w:p>
    <w:p w14:paraId="0F000000">
      <w:pPr>
        <w:widowControl w:val="1"/>
        <w:tabs>
          <w:tab w:leader="none" w:pos="567" w:val="left"/>
        </w:tabs>
        <w:spacing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2.1. Вид осуществляемого муниципального контроля.</w:t>
      </w:r>
    </w:p>
    <w:p w14:paraId="10000000">
      <w:pPr>
        <w:widowControl w:val="1"/>
        <w:ind/>
        <w:jc w:val="both"/>
        <w:rPr>
          <w:sz w:val="28"/>
        </w:rPr>
      </w:pPr>
    </w:p>
    <w:p w14:paraId="1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Администрация Кировского района</w:t>
      </w:r>
      <w:r>
        <w:rPr>
          <w:sz w:val="28"/>
        </w:rPr>
        <w:t xml:space="preserve"> города Ростова-на-Дону</w:t>
      </w:r>
      <w:r>
        <w:rPr>
          <w:sz w:val="28"/>
        </w:rPr>
        <w:t xml:space="preserve"> (далее </w:t>
      </w: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>дминистрация</w:t>
      </w:r>
      <w:r>
        <w:rPr>
          <w:color w:val="010101"/>
          <w:sz w:val="28"/>
        </w:rPr>
        <w:t xml:space="preserve"> района</w:t>
      </w:r>
      <w:r>
        <w:rPr>
          <w:sz w:val="28"/>
        </w:rPr>
        <w:t>)</w:t>
      </w:r>
      <w:r>
        <w:rPr>
          <w:sz w:val="28"/>
        </w:rPr>
        <w:t xml:space="preserve"> осуществляет муниципальный земельный </w:t>
      </w:r>
      <w:r>
        <w:rPr>
          <w:sz w:val="28"/>
        </w:rPr>
        <w:t>контроль за</w:t>
      </w:r>
      <w:r>
        <w:rPr>
          <w:sz w:val="28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</w:t>
      </w:r>
      <w:r>
        <w:rPr>
          <w:sz w:val="28"/>
        </w:rPr>
        <w:t xml:space="preserve">на территории Кировского района города </w:t>
      </w:r>
      <w:r>
        <w:rPr>
          <w:sz w:val="28"/>
        </w:rPr>
        <w:br/>
      </w:r>
      <w:r>
        <w:rPr>
          <w:sz w:val="28"/>
        </w:rPr>
        <w:t>Ростова-на-Дону</w:t>
      </w:r>
      <w:r>
        <w:rPr>
          <w:sz w:val="28"/>
        </w:rPr>
        <w:t xml:space="preserve">, требований земельного законодательства в порядке </w:t>
      </w:r>
      <w:r>
        <w:rPr>
          <w:sz w:val="28"/>
        </w:rPr>
        <w:br/>
      </w:r>
      <w:r>
        <w:rPr>
          <w:sz w:val="28"/>
        </w:rPr>
        <w:t xml:space="preserve">и случаях, установленных правовыми актами Администрации города </w:t>
      </w:r>
      <w:r>
        <w:rPr>
          <w:sz w:val="28"/>
        </w:rPr>
        <w:br/>
      </w:r>
      <w:r>
        <w:rPr>
          <w:sz w:val="28"/>
        </w:rPr>
        <w:t>Ростова-на-Дону.</w:t>
      </w:r>
    </w:p>
    <w:p w14:paraId="12000000">
      <w:pPr>
        <w:widowControl w:val="1"/>
        <w:spacing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2.2. Обзор по виду муниципального контроля.</w:t>
      </w:r>
    </w:p>
    <w:p w14:paraId="13000000">
      <w:pPr>
        <w:widowControl w:val="1"/>
        <w:spacing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Муниципальный земельный контроль (далее – муниципальный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контроль) – деятельность, направленная на предупреждение, выявление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и пресечение нарушений обязательных требований земельного законодательства (далее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</w:t>
      </w:r>
      <w:r>
        <w:rPr>
          <w:color w:val="010101"/>
          <w:sz w:val="28"/>
        </w:rPr>
        <w:t>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r>
        <w:rPr>
          <w:color w:val="010101"/>
          <w:sz w:val="28"/>
        </w:rPr>
        <w:t xml:space="preserve"> положения, существовавшего до возникновения таких нарушений.</w:t>
      </w:r>
    </w:p>
    <w:p w14:paraId="14000000">
      <w:pPr>
        <w:widowControl w:val="1"/>
        <w:spacing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2.3. Муниципальный земельный контроль осуществляется посредством:</w:t>
      </w:r>
    </w:p>
    <w:p w14:paraId="15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14:paraId="16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а также систематического наблюдения за исполнением обязательных требований;</w:t>
      </w:r>
    </w:p>
    <w:p w14:paraId="17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14:paraId="18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организации и проведения мероприятий по контролю, осуществляемых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без взаимодействия с юриди</w:t>
      </w:r>
      <w:r>
        <w:rPr>
          <w:color w:val="010101"/>
          <w:sz w:val="28"/>
        </w:rPr>
        <w:t xml:space="preserve">ческими лицами, индивидуальными </w:t>
      </w:r>
      <w:r>
        <w:rPr>
          <w:color w:val="010101"/>
          <w:sz w:val="28"/>
        </w:rPr>
        <w:t>предпринимателями</w:t>
      </w:r>
      <w:r>
        <w:rPr>
          <w:color w:val="010101"/>
          <w:sz w:val="28"/>
        </w:rPr>
        <w:t>, гражданами</w:t>
      </w:r>
      <w:r>
        <w:rPr>
          <w:color w:val="010101"/>
          <w:sz w:val="28"/>
        </w:rPr>
        <w:t>.</w:t>
      </w:r>
    </w:p>
    <w:p w14:paraId="19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2.4. Подконтрольные субъекты:</w:t>
      </w:r>
    </w:p>
    <w:p w14:paraId="1A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юридические лица, индивидуальные предприниматели и граждане,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при осуществлении ими производственной и иной деятельности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по использованию земель.</w:t>
      </w:r>
    </w:p>
    <w:p w14:paraId="1B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>дминистрацией</w:t>
      </w:r>
      <w:r>
        <w:rPr>
          <w:color w:val="010101"/>
          <w:sz w:val="28"/>
        </w:rPr>
        <w:t xml:space="preserve"> района</w:t>
      </w:r>
      <w:r>
        <w:rPr>
          <w:color w:val="010101"/>
          <w:sz w:val="28"/>
        </w:rPr>
        <w:t xml:space="preserve"> мероприятий по муниципальному земельному контролю:</w:t>
      </w:r>
    </w:p>
    <w:p w14:paraId="1C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Земельный Кодекс Российской Федерации.</w:t>
      </w:r>
    </w:p>
    <w:p w14:paraId="1D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2.6. Данные о проведенных мероприятиях</w:t>
      </w:r>
      <w:r>
        <w:rPr>
          <w:color w:val="010101"/>
          <w:sz w:val="28"/>
        </w:rPr>
        <w:t>:</w:t>
      </w:r>
    </w:p>
    <w:p w14:paraId="1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2024 году</w:t>
      </w:r>
      <w:r>
        <w:rPr>
          <w:sz w:val="28"/>
        </w:rPr>
        <w:t xml:space="preserve"> </w:t>
      </w:r>
      <w:r>
        <w:rPr>
          <w:sz w:val="28"/>
        </w:rPr>
        <w:t>администрацией района</w:t>
      </w:r>
      <w:r>
        <w:rPr>
          <w:sz w:val="28"/>
        </w:rPr>
        <w:t xml:space="preserve"> </w:t>
      </w:r>
      <w:r>
        <w:rPr>
          <w:sz w:val="28"/>
        </w:rPr>
        <w:t>в целях пресечения нарушений обязательных требований, а также повышения эффективности мероприятий по муниципальному земельному контролю органами контроля проводятся профилактические мероприятия.</w:t>
      </w:r>
    </w:p>
    <w:p w14:paraId="1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При этом проведение профилактических мероприятий является приоритетным по отношению к контрольным мероприятиям.</w:t>
      </w:r>
    </w:p>
    <w:p w14:paraId="2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Постановлением Правительства Российской Федерации от 10.03.2022 </w:t>
      </w:r>
      <w:r>
        <w:rPr>
          <w:sz w:val="28"/>
        </w:rPr>
        <w:br/>
      </w:r>
      <w:r>
        <w:rPr>
          <w:sz w:val="28"/>
        </w:rPr>
        <w:t>№ 336</w:t>
      </w:r>
      <w:r>
        <w:rPr>
          <w:sz w:val="28"/>
        </w:rPr>
        <w:t xml:space="preserve"> </w:t>
      </w:r>
      <w:r>
        <w:rPr>
          <w:sz w:val="28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14:paraId="2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Учитывая ограничения, установленные Постановлением в 202</w:t>
      </w:r>
      <w:r>
        <w:rPr>
          <w:sz w:val="28"/>
        </w:rPr>
        <w:t>5</w:t>
      </w:r>
      <w:r>
        <w:rPr>
          <w:sz w:val="28"/>
        </w:rPr>
        <w:t xml:space="preserve"> году органами, уполномоченными на осуществление муниципального земельного контроля, проводятся профилактические мероприятия в виде объявления предостережений о недопустимости нарушения обязательных требований, </w:t>
      </w:r>
      <w:r>
        <w:rPr>
          <w:sz w:val="28"/>
        </w:rPr>
        <w:br/>
      </w:r>
      <w:r>
        <w:rPr>
          <w:sz w:val="28"/>
        </w:rPr>
        <w:t xml:space="preserve">а также контрольные (надзорные) мероприятия без взаимодействия </w:t>
      </w:r>
      <w:r>
        <w:rPr>
          <w:sz w:val="28"/>
        </w:rPr>
        <w:br/>
      </w:r>
      <w:r>
        <w:rPr>
          <w:sz w:val="28"/>
        </w:rPr>
        <w:t>с проверяемыми лицами.</w:t>
      </w:r>
    </w:p>
    <w:p w14:paraId="2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Администрацией района</w:t>
      </w:r>
      <w:r>
        <w:rPr>
          <w:sz w:val="28"/>
        </w:rPr>
        <w:t xml:space="preserve"> объявлено </w:t>
      </w:r>
      <w:r>
        <w:rPr>
          <w:sz w:val="28"/>
        </w:rPr>
        <w:t>11</w:t>
      </w:r>
      <w:r>
        <w:rPr>
          <w:sz w:val="28"/>
        </w:rPr>
        <w:t xml:space="preserve"> </w:t>
      </w:r>
      <w:r>
        <w:rPr>
          <w:sz w:val="28"/>
        </w:rPr>
        <w:t>предостережени</w:t>
      </w:r>
      <w:r>
        <w:rPr>
          <w:sz w:val="28"/>
        </w:rPr>
        <w:t>й</w:t>
      </w:r>
      <w:r>
        <w:rPr>
          <w:sz w:val="28"/>
        </w:rPr>
        <w:t xml:space="preserve"> о недопустимости нарушения обязательных требований лицам, допустившим нарушения обязательных требований земельного законодательства.</w:t>
      </w:r>
    </w:p>
    <w:p w14:paraId="23000000">
      <w:pPr>
        <w:widowControl w:val="1"/>
        <w:ind w:firstLine="709"/>
        <w:jc w:val="both"/>
        <w:rPr>
          <w:sz w:val="28"/>
        </w:rPr>
      </w:pPr>
    </w:p>
    <w:p w14:paraId="24000000">
      <w:pPr>
        <w:widowControl w:val="1"/>
        <w:ind w:firstLine="709"/>
        <w:jc w:val="both"/>
        <w:rPr>
          <w:sz w:val="28"/>
        </w:rPr>
      </w:pPr>
    </w:p>
    <w:p w14:paraId="25000000">
      <w:pPr>
        <w:widowControl w:val="1"/>
        <w:ind/>
        <w:jc w:val="center"/>
        <w:rPr>
          <w:b w:val="1"/>
          <w:color w:val="010101"/>
          <w:sz w:val="28"/>
        </w:rPr>
      </w:pPr>
    </w:p>
    <w:p w14:paraId="26000000">
      <w:pPr>
        <w:widowControl w:val="1"/>
        <w:ind/>
        <w:jc w:val="center"/>
        <w:rPr>
          <w:b w:val="1"/>
          <w:color w:val="010101"/>
          <w:sz w:val="28"/>
        </w:rPr>
      </w:pPr>
      <w:r>
        <w:rPr>
          <w:b w:val="1"/>
          <w:color w:val="010101"/>
          <w:sz w:val="28"/>
        </w:rPr>
        <w:t>3. Цели и задачи Программы </w:t>
      </w:r>
    </w:p>
    <w:p w14:paraId="27000000">
      <w:pPr>
        <w:widowControl w:val="1"/>
        <w:ind/>
        <w:jc w:val="center"/>
        <w:rPr>
          <w:color w:val="010101"/>
          <w:sz w:val="28"/>
        </w:rPr>
      </w:pPr>
    </w:p>
    <w:p w14:paraId="28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3.1. Цели Программы:</w:t>
      </w:r>
    </w:p>
    <w:p w14:paraId="29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>стимулирование добросовестного соблюдения обязательных требований всеми контролируемыми лицами;</w:t>
      </w:r>
    </w:p>
    <w:p w14:paraId="2A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 xml:space="preserve">устранение условий, причин и факторов, способных привести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к нарушениям обязательных требований и (или) причинению вреда (ущерба) охраняемым законом ценностям;</w:t>
      </w:r>
    </w:p>
    <w:p w14:paraId="2B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 xml:space="preserve">создание условий для доведения обязательных требований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до контролируемых лиц, повышение информированности о способах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их соблюдения.</w:t>
      </w:r>
    </w:p>
    <w:p w14:paraId="2C000000">
      <w:pPr>
        <w:widowControl w:val="1"/>
        <w:ind w:firstLine="709"/>
        <w:jc w:val="both"/>
        <w:rPr>
          <w:color w:val="010101"/>
          <w:sz w:val="28"/>
        </w:rPr>
      </w:pPr>
    </w:p>
    <w:p w14:paraId="2D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3.2. Задачи Программы:</w:t>
      </w:r>
    </w:p>
    <w:p w14:paraId="2E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2F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30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14:paraId="31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</w:t>
      </w:r>
      <w:r>
        <w:rPr>
          <w:color w:val="010101"/>
          <w:sz w:val="28"/>
        </w:rPr>
        <w:t xml:space="preserve">повышение прозрачности осуществляемой </w:t>
      </w:r>
      <w:r>
        <w:rPr>
          <w:color w:val="010101"/>
          <w:sz w:val="28"/>
        </w:rPr>
        <w:t>Администрацией</w:t>
      </w:r>
      <w:r>
        <w:rPr>
          <w:color w:val="010101"/>
          <w:sz w:val="28"/>
        </w:rPr>
        <w:t xml:space="preserve"> контрольной деятельности;</w:t>
      </w:r>
    </w:p>
    <w:p w14:paraId="32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 </w:t>
      </w:r>
      <w:r>
        <w:rPr>
          <w:color w:val="010101"/>
          <w:sz w:val="28"/>
        </w:rPr>
        <w:t xml:space="preserve">повышение уровня правовой грамотности подконтрольных субъектов,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14:paraId="33000000">
      <w:pPr>
        <w:widowControl w:val="1"/>
        <w:ind w:firstLine="709"/>
        <w:jc w:val="both"/>
        <w:rPr>
          <w:color w:val="010101"/>
          <w:sz w:val="28"/>
        </w:rPr>
      </w:pPr>
    </w:p>
    <w:p w14:paraId="34000000">
      <w:pPr>
        <w:widowControl w:val="1"/>
        <w:ind/>
        <w:jc w:val="center"/>
        <w:rPr>
          <w:color w:val="010101"/>
          <w:sz w:val="28"/>
        </w:rPr>
      </w:pPr>
      <w:r>
        <w:rPr>
          <w:b w:val="1"/>
          <w:color w:val="010101"/>
          <w:sz w:val="28"/>
        </w:rPr>
        <w:t>4. План мероприятий по профилактике нарушений </w:t>
      </w:r>
    </w:p>
    <w:p w14:paraId="35000000">
      <w:pPr>
        <w:widowControl w:val="1"/>
        <w:spacing w:afterAutospacing="on"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>
        <w:rPr>
          <w:color w:val="010101"/>
          <w:sz w:val="28"/>
        </w:rPr>
        <w:t>6</w:t>
      </w:r>
      <w:r>
        <w:rPr>
          <w:color w:val="010101"/>
          <w:sz w:val="28"/>
        </w:rPr>
        <w:t xml:space="preserve"> год, сроки (периодичность)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их проведения и ответственные структурные подразделения приведены в Плане мероприятий по профилактике нарушений земельного законодательства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на 202</w:t>
      </w:r>
      <w:r>
        <w:rPr>
          <w:color w:val="010101"/>
          <w:sz w:val="28"/>
        </w:rPr>
        <w:t>6</w:t>
      </w:r>
      <w:r>
        <w:rPr>
          <w:color w:val="010101"/>
          <w:sz w:val="28"/>
        </w:rPr>
        <w:t xml:space="preserve"> год (приложение). </w:t>
      </w:r>
    </w:p>
    <w:p w14:paraId="36000000">
      <w:pPr>
        <w:widowControl w:val="1"/>
        <w:spacing w:afterAutospacing="on" w:beforeAutospacing="on"/>
        <w:ind/>
        <w:jc w:val="center"/>
        <w:rPr>
          <w:color w:val="010101"/>
          <w:sz w:val="28"/>
        </w:rPr>
      </w:pPr>
      <w:r>
        <w:rPr>
          <w:b w:val="1"/>
          <w:color w:val="010101"/>
          <w:sz w:val="28"/>
        </w:rPr>
        <w:t>5. Показатели результативности и эффективности Программы. </w:t>
      </w:r>
    </w:p>
    <w:p w14:paraId="37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Отчетные показатели Программы </w:t>
      </w:r>
      <w:r>
        <w:rPr>
          <w:color w:val="010101"/>
          <w:sz w:val="28"/>
        </w:rPr>
        <w:t>н</w:t>
      </w:r>
      <w:r>
        <w:rPr>
          <w:color w:val="010101"/>
          <w:sz w:val="28"/>
        </w:rPr>
        <w:t xml:space="preserve">а 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год:</w:t>
      </w:r>
    </w:p>
    <w:p w14:paraId="38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 </w:t>
      </w:r>
      <w:r>
        <w:rPr>
          <w:color w:val="010101"/>
          <w:sz w:val="28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в отношении подконтрольных субъектов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≤</w:t>
      </w:r>
      <w:r>
        <w:rPr>
          <w:color w:val="010101"/>
          <w:sz w:val="28"/>
        </w:rPr>
        <w:t xml:space="preserve"> 3</w:t>
      </w:r>
      <w:r>
        <w:rPr>
          <w:color w:val="010101"/>
          <w:sz w:val="28"/>
        </w:rPr>
        <w:t>0%.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39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 </w:t>
      </w:r>
      <w:r>
        <w:rPr>
          <w:color w:val="010101"/>
          <w:sz w:val="28"/>
        </w:rPr>
        <w:t>доля профилактических мероприятий в объеме контрольных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мероприятий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≤ 4</w:t>
      </w:r>
      <w:r>
        <w:rPr>
          <w:color w:val="010101"/>
          <w:sz w:val="28"/>
        </w:rPr>
        <w:t>0 %.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Показатель рассчитывается как отношение количества проведенных профилактических мероприятий к количеству пров</w:t>
      </w:r>
      <w:r>
        <w:rPr>
          <w:color w:val="010101"/>
          <w:sz w:val="28"/>
        </w:rPr>
        <w:t>еденных контрольных мероприятий</w:t>
      </w:r>
      <w:r>
        <w:rPr>
          <w:color w:val="010101"/>
          <w:sz w:val="28"/>
        </w:rPr>
        <w:t>;</w:t>
      </w:r>
    </w:p>
    <w:p w14:paraId="3A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–</w:t>
      </w:r>
      <w:r>
        <w:rPr>
          <w:color w:val="010101"/>
          <w:sz w:val="28"/>
        </w:rPr>
        <w:t>  </w:t>
      </w:r>
      <w:r>
        <w:rPr>
          <w:color w:val="010101"/>
          <w:sz w:val="28"/>
        </w:rPr>
        <w:t>повышение уровня дове</w:t>
      </w:r>
      <w:r>
        <w:rPr>
          <w:color w:val="010101"/>
          <w:sz w:val="28"/>
        </w:rPr>
        <w:t xml:space="preserve">рия подконтрольных субъектов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к </w:t>
      </w:r>
      <w:r>
        <w:rPr>
          <w:color w:val="010101"/>
          <w:sz w:val="28"/>
        </w:rPr>
        <w:t>администрации района</w:t>
      </w:r>
      <w:r>
        <w:rPr>
          <w:color w:val="010101"/>
          <w:sz w:val="28"/>
        </w:rPr>
        <w:t>. </w:t>
      </w:r>
    </w:p>
    <w:p w14:paraId="3B000000">
      <w:pPr>
        <w:widowControl w:val="1"/>
        <w:spacing w:afterAutospacing="on" w:beforeAutospacing="on"/>
        <w:ind/>
        <w:jc w:val="center"/>
        <w:rPr>
          <w:color w:val="010101"/>
          <w:sz w:val="28"/>
        </w:rPr>
      </w:pPr>
      <w:r>
        <w:rPr>
          <w:b w:val="1"/>
          <w:color w:val="010101"/>
          <w:sz w:val="28"/>
        </w:rPr>
        <w:t xml:space="preserve">6. </w:t>
      </w:r>
      <w:r>
        <w:rPr>
          <w:b w:val="1"/>
          <w:color w:val="010101"/>
          <w:sz w:val="28"/>
        </w:rPr>
        <w:t>Ответственные лица</w:t>
      </w:r>
      <w:r>
        <w:rPr>
          <w:b w:val="1"/>
          <w:color w:val="010101"/>
          <w:sz w:val="28"/>
        </w:rPr>
        <w:t>.</w:t>
      </w:r>
    </w:p>
    <w:p w14:paraId="3C000000">
      <w:pPr>
        <w:widowControl w:val="1"/>
        <w:spacing w:afterAutospacing="on" w:beforeAutospacing="on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Перечень должностных лиц </w:t>
      </w:r>
      <w:r>
        <w:rPr>
          <w:sz w:val="28"/>
        </w:rPr>
        <w:t>администрацией района</w:t>
      </w:r>
      <w:r>
        <w:rPr>
          <w:color w:val="010101"/>
          <w:sz w:val="28"/>
        </w:rPr>
        <w:t xml:space="preserve">, ответственных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город </w:t>
      </w:r>
      <w:r>
        <w:rPr>
          <w:color w:val="010101"/>
          <w:sz w:val="28"/>
        </w:rPr>
        <w:t>Ростов-на-Дону</w:t>
      </w:r>
      <w:r>
        <w:rPr>
          <w:color w:val="010101"/>
          <w:sz w:val="28"/>
        </w:rPr>
        <w:t>:</w:t>
      </w:r>
    </w:p>
    <w:tbl>
      <w:tblPr>
        <w:tblStyle w:val="Style_2"/>
        <w:tblW w:type="auto" w:w="0"/>
        <w:tblBorders>
          <w:top w:color="BBBBBB" w:sz="4" w:val="single"/>
          <w:left w:color="BBBBBB" w:sz="4" w:val="single"/>
          <w:bottom w:color="BBBBBB" w:sz="4" w:val="single"/>
          <w:right w:color="BBBBBB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11"/>
        <w:gridCol w:w="3510"/>
        <w:gridCol w:w="3389"/>
        <w:gridCol w:w="2338"/>
      </w:tblGrid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D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№</w:t>
            </w:r>
          </w:p>
          <w:p w14:paraId="3E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п</w:t>
            </w:r>
            <w:r>
              <w:rPr>
                <w:b w:val="1"/>
                <w:color w:val="010101"/>
                <w:sz w:val="28"/>
              </w:rPr>
              <w:t>/п</w:t>
            </w:r>
          </w:p>
        </w:tc>
        <w:tc>
          <w:tcPr>
            <w:tcW w:type="dxa" w:w="3510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3F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Ответственные</w:t>
            </w:r>
            <w:r>
              <w:rPr>
                <w:b w:val="1"/>
                <w:color w:val="010101"/>
                <w:sz w:val="28"/>
              </w:rPr>
              <w:t xml:space="preserve"> лица</w:t>
            </w:r>
          </w:p>
        </w:tc>
        <w:tc>
          <w:tcPr>
            <w:tcW w:type="dxa" w:w="338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0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Функции</w:t>
            </w:r>
          </w:p>
        </w:tc>
        <w:tc>
          <w:tcPr>
            <w:tcW w:type="dxa" w:w="2338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1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Контакты</w:t>
            </w:r>
          </w:p>
        </w:tc>
      </w:tr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2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1</w:t>
            </w:r>
          </w:p>
        </w:tc>
        <w:tc>
          <w:tcPr>
            <w:tcW w:type="dxa" w:w="3510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3000000">
            <w:pPr>
              <w:widowControl w:val="1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 xml:space="preserve">Должностные лица администрации Кировского района города </w:t>
            </w:r>
          </w:p>
          <w:p w14:paraId="44000000">
            <w:pPr>
              <w:widowControl w:val="1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Ростова-на-Дону</w:t>
            </w:r>
          </w:p>
        </w:tc>
        <w:tc>
          <w:tcPr>
            <w:tcW w:type="dxa" w:w="338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5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type="dxa" w:w="2338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6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8 (</w:t>
            </w:r>
            <w:r>
              <w:rPr>
                <w:color w:val="010101"/>
                <w:sz w:val="28"/>
              </w:rPr>
              <w:t>863</w:t>
            </w:r>
            <w:r>
              <w:rPr>
                <w:color w:val="010101"/>
                <w:sz w:val="28"/>
              </w:rPr>
              <w:t xml:space="preserve">) </w:t>
            </w:r>
            <w:r>
              <w:rPr>
                <w:color w:val="010101"/>
                <w:sz w:val="28"/>
              </w:rPr>
              <w:t>2</w:t>
            </w:r>
            <w:r>
              <w:rPr>
                <w:color w:val="010101"/>
                <w:sz w:val="28"/>
              </w:rPr>
              <w:t>62</w:t>
            </w:r>
            <w:r>
              <w:rPr>
                <w:color w:val="010101"/>
                <w:sz w:val="28"/>
              </w:rPr>
              <w:t>-</w:t>
            </w:r>
            <w:r>
              <w:rPr>
                <w:color w:val="010101"/>
                <w:sz w:val="28"/>
              </w:rPr>
              <w:t>45</w:t>
            </w:r>
            <w:r>
              <w:rPr>
                <w:color w:val="010101"/>
                <w:sz w:val="28"/>
              </w:rPr>
              <w:t>-</w:t>
            </w:r>
            <w:r>
              <w:rPr>
                <w:color w:val="010101"/>
                <w:sz w:val="28"/>
              </w:rPr>
              <w:t>86</w:t>
            </w:r>
          </w:p>
          <w:p w14:paraId="47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sz w:val="28"/>
              </w:rPr>
              <w:t>adminkir</w:t>
            </w:r>
            <w:r>
              <w:rPr>
                <w:sz w:val="28"/>
              </w:rPr>
              <w:t>@rostov-gorod.ru</w:t>
            </w:r>
          </w:p>
        </w:tc>
      </w:tr>
    </w:tbl>
    <w:p w14:paraId="48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Реализация Программы осуществляется путем исполнения организационных и профилактических мероприятий </w:t>
      </w:r>
      <w:r>
        <w:rPr>
          <w:color w:val="010101"/>
          <w:sz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Кировского района</w:t>
      </w:r>
      <w:r>
        <w:rPr>
          <w:color w:val="010101"/>
          <w:sz w:val="28"/>
        </w:rPr>
        <w:t xml:space="preserve"> город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Ростова-на-Дону</w:t>
      </w:r>
      <w:r>
        <w:rPr>
          <w:color w:val="010101"/>
          <w:sz w:val="28"/>
        </w:rPr>
        <w:t xml:space="preserve"> на 202</w:t>
      </w:r>
      <w:r>
        <w:rPr>
          <w:color w:val="010101"/>
          <w:sz w:val="28"/>
        </w:rPr>
        <w:t>5</w:t>
      </w:r>
      <w:r>
        <w:rPr>
          <w:color w:val="010101"/>
          <w:sz w:val="28"/>
        </w:rPr>
        <w:t xml:space="preserve"> год.</w:t>
      </w:r>
    </w:p>
    <w:p w14:paraId="49000000">
      <w:pPr>
        <w:widowControl w:val="1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Результаты профилактической работы </w:t>
      </w:r>
      <w:r>
        <w:rPr>
          <w:sz w:val="28"/>
        </w:rPr>
        <w:t>администрацией района</w:t>
      </w:r>
      <w:r>
        <w:rPr>
          <w:sz w:val="28"/>
        </w:rPr>
        <w:t xml:space="preserve"> </w:t>
      </w:r>
      <w:r>
        <w:rPr>
          <w:color w:val="010101"/>
          <w:sz w:val="28"/>
        </w:rPr>
        <w:t>включаются в Доклад об осуществлении муниципального земельного</w:t>
      </w:r>
      <w:r>
        <w:rPr>
          <w:color w:val="010101"/>
          <w:sz w:val="28"/>
        </w:rPr>
        <w:t xml:space="preserve"> контроля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на территории муниципального образования город </w:t>
      </w:r>
      <w:r>
        <w:rPr>
          <w:color w:val="010101"/>
          <w:sz w:val="28"/>
        </w:rPr>
        <w:t>Ростов-на-Дону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в</w:t>
      </w:r>
      <w:r>
        <w:rPr>
          <w:color w:val="010101"/>
          <w:sz w:val="28"/>
        </w:rPr>
        <w:t xml:space="preserve"> 202</w:t>
      </w:r>
      <w:r>
        <w:rPr>
          <w:color w:val="010101"/>
          <w:sz w:val="28"/>
        </w:rPr>
        <w:t>6</w:t>
      </w:r>
      <w:r>
        <w:rPr>
          <w:color w:val="010101"/>
          <w:sz w:val="28"/>
        </w:rPr>
        <w:t xml:space="preserve"> год</w:t>
      </w:r>
      <w:r>
        <w:rPr>
          <w:color w:val="010101"/>
          <w:sz w:val="28"/>
        </w:rPr>
        <w:t>у</w:t>
      </w:r>
      <w:r>
        <w:rPr>
          <w:color w:val="010101"/>
          <w:sz w:val="28"/>
        </w:rPr>
        <w:t>.</w:t>
      </w:r>
    </w:p>
    <w:p w14:paraId="4A000000">
      <w:pPr>
        <w:widowControl w:val="1"/>
        <w:ind w:firstLine="709"/>
        <w:jc w:val="both"/>
        <w:rPr>
          <w:color w:val="010101"/>
          <w:sz w:val="28"/>
        </w:rPr>
      </w:pPr>
    </w:p>
    <w:p w14:paraId="4B000000">
      <w:pPr>
        <w:widowControl w:val="1"/>
        <w:ind w:firstLine="709"/>
        <w:jc w:val="both"/>
        <w:rPr>
          <w:color w:val="010101"/>
          <w:sz w:val="28"/>
        </w:rPr>
      </w:pPr>
    </w:p>
    <w:p w14:paraId="4C000000">
      <w:pPr>
        <w:widowControl w:val="1"/>
        <w:spacing w:after="383"/>
        <w:ind/>
        <w:rPr>
          <w:sz w:val="28"/>
        </w:rPr>
      </w:pPr>
      <w:r>
        <w:rPr>
          <w:sz w:val="28"/>
        </w:rPr>
        <w:t xml:space="preserve">Заместитель главы администрации </w:t>
      </w:r>
      <w:r>
        <w:rPr>
          <w:sz w:val="28"/>
        </w:rPr>
        <w:br/>
      </w:r>
      <w:r>
        <w:rPr>
          <w:sz w:val="28"/>
        </w:rPr>
        <w:t>Кировского района</w:t>
      </w:r>
      <w:r>
        <w:rPr>
          <w:sz w:val="28"/>
        </w:rPr>
        <w:br/>
      </w:r>
      <w:r>
        <w:rPr>
          <w:sz w:val="28"/>
        </w:rPr>
        <w:t>по вопросам благоустройства</w:t>
      </w:r>
      <w:r>
        <w:rPr>
          <w:sz w:val="28"/>
        </w:rPr>
        <w:br/>
      </w:r>
      <w:r>
        <w:rPr>
          <w:sz w:val="28"/>
        </w:rPr>
        <w:t>города Ростова-на-Дону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И.А. </w:t>
      </w:r>
      <w:r>
        <w:rPr>
          <w:sz w:val="28"/>
        </w:rPr>
        <w:t>Семенюк</w:t>
      </w:r>
    </w:p>
    <w:p w14:paraId="4D000000">
      <w:pPr>
        <w:widowControl w:val="1"/>
        <w:spacing w:afterAutospacing="on" w:beforeAutospacing="on"/>
        <w:ind w:hanging="142" w:left="5529"/>
        <w:jc w:val="center"/>
        <w:rPr>
          <w:color w:val="010101"/>
          <w:sz w:val="28"/>
        </w:rPr>
      </w:pPr>
      <w:r>
        <w:rPr>
          <w:color w:val="010101"/>
          <w:sz w:val="28"/>
        </w:rPr>
        <w:t>Приложение 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>к Программе профилактики рисков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причинения вреда (ущерба)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охраняемым законом ценностям на 202</w:t>
      </w:r>
      <w:r>
        <w:rPr>
          <w:color w:val="010101"/>
          <w:sz w:val="28"/>
        </w:rPr>
        <w:t>6</w:t>
      </w:r>
      <w:r>
        <w:rPr>
          <w:color w:val="010101"/>
          <w:sz w:val="28"/>
        </w:rPr>
        <w:t xml:space="preserve"> год</w:t>
      </w:r>
    </w:p>
    <w:p w14:paraId="4E000000">
      <w:pPr>
        <w:widowControl w:val="1"/>
        <w:ind/>
        <w:jc w:val="center"/>
        <w:outlineLvl w:val="1"/>
        <w:rPr>
          <w:color w:val="010101"/>
          <w:sz w:val="28"/>
        </w:rPr>
      </w:pPr>
      <w:r>
        <w:rPr>
          <w:color w:val="010101"/>
          <w:sz w:val="28"/>
        </w:rPr>
        <w:t>ПЛАН МЕРОПРИЯТИЙ</w:t>
      </w:r>
      <w:r>
        <w:rPr>
          <w:color w:val="010101"/>
          <w:sz w:val="28"/>
        </w:rPr>
        <w:br/>
      </w:r>
      <w:r>
        <w:rPr>
          <w:color w:val="010101"/>
          <w:sz w:val="28"/>
        </w:rPr>
        <w:t xml:space="preserve">по профилактике нарушений земельного законодательства на территории </w:t>
      </w:r>
      <w:r>
        <w:rPr>
          <w:color w:val="010101"/>
          <w:sz w:val="28"/>
        </w:rPr>
        <w:t>Кировского района</w:t>
      </w:r>
      <w:r>
        <w:rPr>
          <w:color w:val="010101"/>
          <w:sz w:val="28"/>
        </w:rPr>
        <w:t xml:space="preserve"> город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 xml:space="preserve"> </w:t>
      </w:r>
      <w:r>
        <w:rPr>
          <w:color w:val="010101"/>
          <w:sz w:val="28"/>
        </w:rPr>
        <w:t>Ростов-на-Дону</w:t>
      </w:r>
      <w:r>
        <w:rPr>
          <w:color w:val="010101"/>
          <w:sz w:val="28"/>
        </w:rPr>
        <w:t xml:space="preserve"> на 202</w:t>
      </w:r>
      <w:r>
        <w:rPr>
          <w:color w:val="010101"/>
          <w:sz w:val="28"/>
        </w:rPr>
        <w:t>6</w:t>
      </w:r>
      <w:bookmarkStart w:id="1" w:name="_GoBack"/>
      <w:bookmarkEnd w:id="1"/>
      <w:r>
        <w:rPr>
          <w:color w:val="010101"/>
          <w:sz w:val="28"/>
        </w:rPr>
        <w:t xml:space="preserve"> год </w:t>
      </w:r>
    </w:p>
    <w:tbl>
      <w:tblPr>
        <w:tblStyle w:val="Style_2"/>
        <w:tblW w:type="auto" w:w="0"/>
        <w:tblBorders>
          <w:top w:color="BBBBBB" w:sz="4" w:val="single"/>
          <w:left w:color="BBBBBB" w:sz="4" w:val="single"/>
          <w:bottom w:color="BBBBBB" w:sz="4" w:val="single"/>
          <w:right w:color="BBBBBB" w:sz="4" w:val="single"/>
        </w:tblBorders>
        <w:tblLayout w:type="fixed"/>
        <w:tblCellMar>
          <w:left w:type="dxa" w:w="0"/>
          <w:right w:type="dxa" w:w="0"/>
        </w:tblCellMar>
      </w:tblPr>
      <w:tblGrid>
        <w:gridCol w:w="411"/>
        <w:gridCol w:w="2321"/>
        <w:gridCol w:w="3109"/>
        <w:gridCol w:w="2169"/>
        <w:gridCol w:w="1836"/>
      </w:tblGrid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4F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№</w:t>
            </w:r>
          </w:p>
          <w:p w14:paraId="50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п</w:t>
            </w:r>
            <w:r>
              <w:rPr>
                <w:b w:val="1"/>
                <w:color w:val="010101"/>
                <w:sz w:val="28"/>
              </w:rPr>
              <w:t>/п</w:t>
            </w:r>
          </w:p>
        </w:tc>
        <w:tc>
          <w:tcPr>
            <w:tcW w:type="dxa" w:w="232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1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Наименование мероприятия</w:t>
            </w:r>
          </w:p>
        </w:tc>
        <w:tc>
          <w:tcPr>
            <w:tcW w:type="dxa" w:w="310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2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Сведения о мероприятии</w:t>
            </w:r>
          </w:p>
        </w:tc>
        <w:tc>
          <w:tcPr>
            <w:tcW w:type="dxa" w:w="216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3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Ответственный исполнитель</w:t>
            </w:r>
          </w:p>
        </w:tc>
        <w:tc>
          <w:tcPr>
            <w:tcW w:type="dxa" w:w="1836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4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b w:val="1"/>
                <w:color w:val="010101"/>
                <w:sz w:val="28"/>
              </w:rPr>
              <w:t>Срок исполнения</w:t>
            </w:r>
          </w:p>
        </w:tc>
      </w:tr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5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1.</w:t>
            </w:r>
          </w:p>
        </w:tc>
        <w:tc>
          <w:tcPr>
            <w:tcW w:type="dxa" w:w="232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6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Информирование</w:t>
            </w:r>
          </w:p>
        </w:tc>
        <w:tc>
          <w:tcPr>
            <w:tcW w:type="dxa" w:w="310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57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Администрация района</w:t>
            </w:r>
            <w:r>
              <w:rPr>
                <w:color w:val="010101"/>
                <w:sz w:val="28"/>
              </w:rPr>
              <w:t xml:space="preserve"> </w:t>
            </w:r>
            <w:r>
              <w:rPr>
                <w:color w:val="010101"/>
                <w:sz w:val="28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14:paraId="58000000">
            <w:pPr>
              <w:rPr>
                <w:sz w:val="28"/>
              </w:rPr>
            </w:pPr>
            <w:r>
              <w:rPr>
                <w:color w:val="010101"/>
                <w:sz w:val="28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sz w:val="28"/>
              </w:rPr>
              <w:t xml:space="preserve">муниципального образования </w:t>
            </w:r>
            <w:r>
              <w:rPr>
                <w:sz w:val="28"/>
              </w:rPr>
              <w:t>«Г</w:t>
            </w:r>
            <w:r>
              <w:rPr>
                <w:sz w:val="28"/>
              </w:rPr>
              <w:t xml:space="preserve">ород </w:t>
            </w:r>
            <w:r>
              <w:rPr>
                <w:sz w:val="28"/>
              </w:rPr>
              <w:t>Ростов-на-Дону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 xml:space="preserve"> в информационно-телекоммуникационной сети </w:t>
            </w:r>
            <w:r>
              <w:rPr>
                <w:sz w:val="28"/>
              </w:rPr>
              <w:t>«</w:t>
            </w:r>
            <w:r>
              <w:rPr>
                <w:sz w:val="28"/>
              </w:rPr>
              <w:t>Интернет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 xml:space="preserve"> и в иных формах.</w:t>
            </w:r>
          </w:p>
          <w:p w14:paraId="59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Администрация района</w:t>
            </w:r>
            <w:r>
              <w:rPr>
                <w:color w:val="010101"/>
                <w:sz w:val="28"/>
              </w:rPr>
              <w:t xml:space="preserve"> </w:t>
            </w:r>
            <w:r>
              <w:rPr>
                <w:color w:val="010101"/>
                <w:sz w:val="28"/>
              </w:rPr>
              <w:t>размещает и поддерживает в актуальном состоянии на своем официальном сайте в сети «Интернет»:</w:t>
            </w:r>
          </w:p>
          <w:p w14:paraId="5A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 xml:space="preserve">1) тексты нормативных правовых актов, регулирующих осуществление </w:t>
            </w:r>
            <w:r>
              <w:rPr>
                <w:color w:val="010101"/>
                <w:sz w:val="28"/>
              </w:rPr>
              <w:t>муниципального земельного контроля;</w:t>
            </w:r>
          </w:p>
          <w:p w14:paraId="5B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2</w:t>
            </w:r>
            <w:r>
              <w:rPr>
                <w:color w:val="010101"/>
                <w:sz w:val="28"/>
              </w:rPr>
              <w:t>) программу профилактики рисков причинения вреда и план проведения плановых контрольных мероприятий;</w:t>
            </w:r>
          </w:p>
          <w:p w14:paraId="5C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3</w:t>
            </w:r>
            <w:r>
              <w:rPr>
                <w:color w:val="010101"/>
                <w:sz w:val="28"/>
              </w:rPr>
              <w:t>) сведения о способах получения консультаций по вопросам соблюдения обязательных требований;</w:t>
            </w:r>
          </w:p>
          <w:p w14:paraId="5D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4</w:t>
            </w:r>
            <w:r>
              <w:rPr>
                <w:color w:val="010101"/>
                <w:sz w:val="28"/>
              </w:rPr>
              <w:t>) доклады о муниципальном контроле;</w:t>
            </w:r>
          </w:p>
          <w:p w14:paraId="5E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5)</w:t>
            </w:r>
            <w:r>
              <w:rPr>
                <w:color w:val="010101"/>
                <w:sz w:val="28"/>
              </w:rPr>
              <w:t xml:space="preserve"> </w:t>
            </w:r>
            <w:r>
              <w:rPr>
                <w:color w:val="010101"/>
                <w:sz w:val="28"/>
              </w:rPr>
              <w:t>д</w:t>
            </w:r>
            <w:r>
              <w:rPr>
                <w:color w:val="010101"/>
                <w:sz w:val="28"/>
              </w:rPr>
              <w:t>оклад</w:t>
            </w:r>
            <w:r>
              <w:rPr>
                <w:color w:val="010101"/>
                <w:sz w:val="28"/>
              </w:rPr>
              <w:t>ы</w:t>
            </w:r>
            <w:r>
              <w:rPr>
                <w:color w:val="010101"/>
                <w:sz w:val="28"/>
              </w:rPr>
              <w:t xml:space="preserve"> о правоприменительной практике</w:t>
            </w:r>
          </w:p>
          <w:p w14:paraId="5F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6</w:t>
            </w:r>
            <w:r>
              <w:rPr>
                <w:color w:val="010101"/>
                <w:sz w:val="28"/>
              </w:rPr>
              <w:t>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type="dxa" w:w="216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0000000">
            <w:pPr>
              <w:widowControl w:val="1"/>
              <w:spacing w:afterAutospacing="on" w:beforeAutospacing="on"/>
              <w:ind/>
              <w:jc w:val="center"/>
              <w:rPr>
                <w:color w:val="FF0000"/>
                <w:sz w:val="28"/>
              </w:rPr>
            </w:pPr>
            <w:r>
              <w:rPr>
                <w:color w:val="010101"/>
                <w:sz w:val="28"/>
              </w:rPr>
              <w:t>Ведущий специалист (по вопросам землеустройства)</w:t>
            </w:r>
            <w:r>
              <w:rPr>
                <w:color w:val="010101"/>
                <w:sz w:val="28"/>
              </w:rPr>
              <w:t>, отдел архитектуры</w:t>
            </w:r>
          </w:p>
          <w:p w14:paraId="61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  <w:p w14:paraId="62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 </w:t>
            </w:r>
          </w:p>
        </w:tc>
        <w:tc>
          <w:tcPr>
            <w:tcW w:type="dxa" w:w="1836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3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Ежеквартально</w:t>
            </w:r>
          </w:p>
          <w:p w14:paraId="64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  <w:p w14:paraId="65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</w:tc>
      </w:tr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6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2</w:t>
            </w:r>
            <w:r>
              <w:rPr>
                <w:color w:val="010101"/>
                <w:sz w:val="28"/>
              </w:rPr>
              <w:t>.</w:t>
            </w:r>
          </w:p>
        </w:tc>
        <w:tc>
          <w:tcPr>
            <w:tcW w:type="dxa" w:w="232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7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Объявление предостережения</w:t>
            </w:r>
          </w:p>
        </w:tc>
        <w:tc>
          <w:tcPr>
            <w:tcW w:type="dxa" w:w="310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8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</w:t>
            </w:r>
            <w:r>
              <w:rPr>
                <w:color w:val="010101"/>
                <w:sz w:val="28"/>
              </w:rPr>
              <w:t>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принять меры по обеспечению соблюдения обязательных требовани</w:t>
            </w:r>
            <w:r>
              <w:rPr>
                <w:color w:val="010101"/>
                <w:sz w:val="28"/>
              </w:rPr>
              <w:t xml:space="preserve">й.  </w:t>
            </w:r>
          </w:p>
          <w:p w14:paraId="69000000">
            <w:pPr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>
              <w:rPr>
                <w:color w:val="010101"/>
                <w:sz w:val="28"/>
              </w:rPr>
              <w:t>администрацию района</w:t>
            </w:r>
            <w:r>
              <w:rPr>
                <w:color w:val="010101"/>
                <w:sz w:val="28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>
              <w:rPr>
                <w:color w:val="010101"/>
                <w:sz w:val="28"/>
              </w:rPr>
              <w:t>администрацией района</w:t>
            </w:r>
            <w:r>
              <w:rPr>
                <w:color w:val="010101"/>
                <w:sz w:val="28"/>
              </w:rPr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type="dxa" w:w="216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A000000">
            <w:pPr>
              <w:widowControl w:val="1"/>
              <w:spacing w:afterAutospacing="on" w:beforeAutospacing="on"/>
              <w:ind/>
              <w:jc w:val="center"/>
              <w:rPr>
                <w:color w:val="FF0000"/>
                <w:sz w:val="28"/>
              </w:rPr>
            </w:pPr>
            <w:r>
              <w:rPr>
                <w:color w:val="010101"/>
                <w:sz w:val="28"/>
              </w:rPr>
              <w:t>Ведущий специалист (по вопросам землеустройства), отдел архитектуры</w:t>
            </w:r>
          </w:p>
          <w:p w14:paraId="6B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</w:tc>
        <w:tc>
          <w:tcPr>
            <w:tcW w:type="dxa" w:w="1836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C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В течение года</w:t>
            </w:r>
          </w:p>
        </w:tc>
      </w:tr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D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3</w:t>
            </w:r>
            <w:r>
              <w:rPr>
                <w:color w:val="010101"/>
                <w:sz w:val="28"/>
              </w:rPr>
              <w:t>.</w:t>
            </w:r>
          </w:p>
        </w:tc>
        <w:tc>
          <w:tcPr>
            <w:tcW w:type="dxa" w:w="232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E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Консультирование</w:t>
            </w:r>
          </w:p>
        </w:tc>
        <w:tc>
          <w:tcPr>
            <w:tcW w:type="dxa" w:w="310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6F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осуществляется в устной или письменной форме.</w:t>
            </w:r>
          </w:p>
          <w:p w14:paraId="70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может осуществляться по телефону, посредством видео-конференц-связи либо в ходе проведения профилактического мероприятия, контрольного мероприятия.</w:t>
            </w:r>
          </w:p>
          <w:p w14:paraId="71000000">
            <w:pPr>
              <w:rPr>
                <w:color w:val="010101"/>
                <w:sz w:val="28"/>
              </w:rPr>
            </w:pPr>
            <w:r>
              <w:rPr>
                <w:sz w:val="28"/>
              </w:rPr>
              <w:t xml:space="preserve">Время разговора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по телефону не должно превышать 10 минут.</w:t>
            </w:r>
          </w:p>
          <w:p w14:paraId="72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При устном консультировании должностные лица органа контроля обязаны предоставлять информацию по следующим вопросам:</w:t>
            </w:r>
          </w:p>
          <w:p w14:paraId="73000000">
            <w:pPr>
              <w:rPr>
                <w:sz w:val="28"/>
              </w:rPr>
            </w:pPr>
            <w:r>
              <w:rPr>
                <w:sz w:val="28"/>
              </w:rPr>
              <w:t>организация и осуществление муниципального земельного контроля;</w:t>
            </w:r>
          </w:p>
          <w:p w14:paraId="74000000">
            <w:pPr>
              <w:rPr>
                <w:sz w:val="28"/>
              </w:rPr>
            </w:pPr>
            <w:r>
              <w:rPr>
                <w:sz w:val="28"/>
              </w:rPr>
              <w:t>порядок осуществления контрольных мероприятий, установленных Положением</w:t>
            </w:r>
            <w:r>
              <w:rPr>
                <w:sz w:val="28"/>
              </w:rPr>
              <w:t xml:space="preserve"> об осуществлении муниципального земельного контроля</w:t>
            </w:r>
            <w:r>
              <w:rPr>
                <w:sz w:val="28"/>
              </w:rPr>
              <w:t>;</w:t>
            </w:r>
          </w:p>
          <w:p w14:paraId="75000000">
            <w:pPr>
              <w:rPr>
                <w:sz w:val="28"/>
              </w:rPr>
            </w:pPr>
            <w:r>
              <w:rPr>
                <w:sz w:val="28"/>
              </w:rPr>
              <w:t xml:space="preserve">порядок обжалования действий (бездействия) должностных лиц органов контроля; получение информации о нормативных правовых актах (их отдельных положениях), содержащих обязательные </w:t>
            </w:r>
            <w:r>
              <w:rPr>
                <w:sz w:val="28"/>
              </w:rPr>
              <w:t>требования, оценка соблюдения которых осуществляется органом контроля в рамках контрольных мероприятий.</w:t>
            </w:r>
          </w:p>
          <w:p w14:paraId="76000000">
            <w:pPr>
              <w:rPr>
                <w:sz w:val="28"/>
              </w:rPr>
            </w:pPr>
            <w:r>
              <w:rPr>
                <w:sz w:val="28"/>
              </w:rPr>
              <w:t xml:space="preserve">Консультирование по однотипным обращениям контролируемых лиц и их представителей, содержащим запросы разъяснения требований законодательства Российской Федерации, осуществляется органом контроля посредством размещения на </w:t>
            </w:r>
            <w:r>
              <w:rPr>
                <w:sz w:val="28"/>
              </w:rPr>
              <w:t>официальном</w:t>
            </w:r>
            <w:r>
              <w:rPr>
                <w:sz w:val="28"/>
              </w:rPr>
              <w:t xml:space="preserve"> Интернет-портале городской Думы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и Администрации города Ростова-на-Дону</w:t>
            </w:r>
            <w:r>
              <w:rPr>
                <w:rFonts w:ascii="Arial" w:hAnsi="Arial"/>
                <w:sz w:val="28"/>
              </w:rPr>
              <w:t xml:space="preserve"> </w:t>
            </w:r>
            <w:r>
              <w:rPr>
                <w:sz w:val="28"/>
              </w:rPr>
              <w:t>письменного разъяснения.</w:t>
            </w:r>
          </w:p>
        </w:tc>
        <w:tc>
          <w:tcPr>
            <w:tcW w:type="dxa" w:w="216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7000000">
            <w:pPr>
              <w:widowControl w:val="1"/>
              <w:spacing w:afterAutospacing="on" w:beforeAutospacing="on"/>
              <w:ind/>
              <w:jc w:val="center"/>
              <w:rPr>
                <w:color w:val="FF0000"/>
                <w:sz w:val="28"/>
              </w:rPr>
            </w:pPr>
            <w:r>
              <w:rPr>
                <w:color w:val="010101"/>
                <w:sz w:val="28"/>
              </w:rPr>
              <w:t>Ведущий специалист (по вопросам землеустройства), отдел архитектуры</w:t>
            </w:r>
          </w:p>
          <w:p w14:paraId="78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</w:tc>
        <w:tc>
          <w:tcPr>
            <w:tcW w:type="dxa" w:w="1836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9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В течение года</w:t>
            </w:r>
          </w:p>
          <w:p w14:paraId="7A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</w:tc>
      </w:tr>
      <w:tr>
        <w:tc>
          <w:tcPr>
            <w:tcW w:type="dxa" w:w="41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B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>4</w:t>
            </w:r>
            <w:r>
              <w:rPr>
                <w:color w:val="010101"/>
                <w:sz w:val="28"/>
              </w:rPr>
              <w:t>.</w:t>
            </w:r>
          </w:p>
        </w:tc>
        <w:tc>
          <w:tcPr>
            <w:tcW w:type="dxa" w:w="2321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C000000">
            <w:pPr>
              <w:widowControl w:val="1"/>
              <w:spacing w:afterAutospacing="on" w:beforeAutospacing="on"/>
              <w:ind/>
              <w:rPr>
                <w:sz w:val="28"/>
              </w:rPr>
            </w:pPr>
            <w:r>
              <w:rPr>
                <w:sz w:val="28"/>
              </w:rPr>
              <w:t>Профилактический визит</w:t>
            </w:r>
          </w:p>
        </w:tc>
        <w:tc>
          <w:tcPr>
            <w:tcW w:type="dxa" w:w="310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7D000000">
            <w:pPr>
              <w:pStyle w:val="Style_3"/>
              <w:widowControl w:val="1"/>
              <w:ind w:firstLine="0"/>
              <w:jc w:val="both"/>
              <w:rPr>
                <w:strike w:val="1"/>
                <w:sz w:val="28"/>
              </w:rPr>
            </w:pPr>
            <w:r>
              <w:rPr>
                <w:sz w:val="28"/>
              </w:rPr>
              <w:t>Проведение профилактического визита органом контроля осуществляется в отношении</w:t>
            </w:r>
            <w:bookmarkStart w:id="2" w:name="P228"/>
            <w:bookmarkEnd w:id="2"/>
            <w:r>
              <w:rPr>
                <w:sz w:val="28"/>
              </w:rPr>
              <w:t xml:space="preserve"> приступающих к осуществлению деятельности контролируемых лиц: </w:t>
            </w:r>
          </w:p>
          <w:p w14:paraId="7E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которым объекты контроля (земельные участки, находящиеся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 xml:space="preserve">в муниципальной собственности, или государственная собственность на которые не разграничена) предоставлены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в собственность, аренду либо безвозмездное пользование</w:t>
            </w:r>
            <w:r>
              <w:rPr>
                <w:sz w:val="28"/>
              </w:rPr>
              <w:t>.</w:t>
            </w:r>
          </w:p>
          <w:p w14:paraId="7F000000">
            <w:pPr>
              <w:rPr>
                <w:sz w:val="28"/>
              </w:rPr>
            </w:pPr>
            <w:r>
              <w:rPr>
                <w:sz w:val="28"/>
              </w:rPr>
              <w:t>О проведении обязательного профилактического визита контролируемое лицо уведомляется органом контроля не позднее, чем за 5 рабочих дней до даты его проведения.</w:t>
            </w:r>
          </w:p>
          <w:p w14:paraId="80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Контролируемое лицо вправе отказаться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от проведения обязательного профилактического визита, уведомив об этом орган контроля не позднее, чем за три рабочих дня до даты его проведения.</w:t>
            </w:r>
          </w:p>
          <w:p w14:paraId="81000000">
            <w:pPr>
              <w:pStyle w:val="Style_3"/>
              <w:widowControl w:val="1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Срок проведения обязательного профилактического визита не может превышать одного рабочего дня.</w:t>
            </w:r>
          </w:p>
          <w:p w14:paraId="82000000">
            <w:pPr>
              <w:rPr>
                <w:sz w:val="28"/>
              </w:rPr>
            </w:pPr>
            <w:r>
              <w:rPr>
                <w:sz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type="dxa" w:w="2169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3000000">
            <w:pPr>
              <w:widowControl w:val="1"/>
              <w:spacing w:afterAutospacing="on" w:beforeAutospacing="on"/>
              <w:ind/>
              <w:jc w:val="center"/>
              <w:rPr>
                <w:color w:val="FF0000"/>
                <w:sz w:val="28"/>
              </w:rPr>
            </w:pPr>
            <w:r>
              <w:rPr>
                <w:color w:val="010101"/>
                <w:sz w:val="28"/>
              </w:rPr>
              <w:t>Ведущий специалист (по вопросам землеустройства), отдел архитектуры</w:t>
            </w:r>
          </w:p>
          <w:p w14:paraId="84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</w:p>
        </w:tc>
        <w:tc>
          <w:tcPr>
            <w:tcW w:type="dxa" w:w="1836"/>
            <w:tcBorders>
              <w:top w:color="BBBBBB" w:sz="4" w:val="single"/>
              <w:left w:color="BBBBBB" w:sz="4" w:val="single"/>
              <w:bottom w:color="BBBBBB" w:sz="4" w:val="single"/>
              <w:right w:color="BBBBBB" w:sz="4" w:val="single"/>
            </w:tcBorders>
            <w:shd w:fill="FFFFFF" w:val="clear"/>
            <w:tcMar>
              <w:left w:type="dxa" w:w="0"/>
              <w:right w:type="dxa" w:w="0"/>
            </w:tcMar>
          </w:tcPr>
          <w:p w14:paraId="85000000">
            <w:pPr>
              <w:widowControl w:val="1"/>
              <w:spacing w:afterAutospacing="on" w:beforeAutospacing="on"/>
              <w:ind/>
              <w:jc w:val="center"/>
              <w:rPr>
                <w:color w:val="010101"/>
                <w:sz w:val="28"/>
              </w:rPr>
            </w:pPr>
            <w:r>
              <w:rPr>
                <w:color w:val="010101"/>
                <w:sz w:val="28"/>
              </w:rPr>
              <w:t xml:space="preserve">Один раз </w:t>
            </w:r>
            <w:r>
              <w:rPr>
                <w:color w:val="010101"/>
                <w:sz w:val="28"/>
              </w:rPr>
              <w:br/>
            </w:r>
            <w:r>
              <w:rPr>
                <w:color w:val="010101"/>
                <w:sz w:val="28"/>
              </w:rPr>
              <w:t>в квартал (</w:t>
            </w:r>
            <w:r>
              <w:rPr>
                <w:color w:val="010101"/>
                <w:sz w:val="28"/>
              </w:rPr>
              <w:t>февраль</w:t>
            </w:r>
            <w:r>
              <w:rPr>
                <w:color w:val="010101"/>
                <w:sz w:val="28"/>
              </w:rPr>
              <w:t xml:space="preserve">, </w:t>
            </w:r>
            <w:r>
              <w:rPr>
                <w:color w:val="010101"/>
                <w:sz w:val="28"/>
              </w:rPr>
              <w:t>июнь</w:t>
            </w:r>
            <w:r>
              <w:rPr>
                <w:color w:val="010101"/>
                <w:sz w:val="28"/>
              </w:rPr>
              <w:t xml:space="preserve">, август, </w:t>
            </w:r>
            <w:r>
              <w:rPr>
                <w:color w:val="010101"/>
                <w:sz w:val="28"/>
              </w:rPr>
              <w:t>октябрь</w:t>
            </w:r>
            <w:r>
              <w:rPr>
                <w:color w:val="010101"/>
                <w:sz w:val="28"/>
              </w:rPr>
              <w:t>)</w:t>
            </w:r>
            <w:r>
              <w:rPr>
                <w:color w:val="FF0000"/>
                <w:sz w:val="28"/>
              </w:rPr>
              <w:t xml:space="preserve">  </w:t>
            </w:r>
          </w:p>
        </w:tc>
      </w:tr>
    </w:tbl>
    <w:p w14:paraId="86000000"/>
    <w:p w14:paraId="87000000">
      <w:pPr>
        <w:widowControl w:val="0"/>
        <w:ind/>
        <w:jc w:val="both"/>
        <w:rPr>
          <w:sz w:val="28"/>
        </w:rPr>
      </w:pPr>
    </w:p>
    <w:p w14:paraId="88000000">
      <w:pPr>
        <w:widowControl w:val="1"/>
        <w:spacing w:after="383"/>
        <w:ind/>
        <w:rPr>
          <w:sz w:val="28"/>
        </w:rPr>
      </w:pPr>
    </w:p>
    <w:p w14:paraId="89000000">
      <w:pPr>
        <w:widowControl w:val="1"/>
        <w:spacing w:after="383"/>
        <w:ind/>
        <w:rPr>
          <w:sz w:val="28"/>
        </w:rPr>
      </w:pPr>
      <w:r>
        <w:rPr>
          <w:sz w:val="28"/>
        </w:rPr>
        <w:t xml:space="preserve">Заместитель главы администрации </w:t>
      </w:r>
      <w:r>
        <w:rPr>
          <w:sz w:val="28"/>
        </w:rPr>
        <w:br/>
      </w:r>
      <w:r>
        <w:rPr>
          <w:sz w:val="28"/>
        </w:rPr>
        <w:t>Кировского района</w:t>
      </w:r>
      <w:r>
        <w:rPr>
          <w:sz w:val="28"/>
        </w:rPr>
        <w:br/>
      </w:r>
      <w:r>
        <w:rPr>
          <w:sz w:val="28"/>
        </w:rPr>
        <w:t>по вопросам благоустройства</w:t>
      </w:r>
      <w:r>
        <w:rPr>
          <w:sz w:val="28"/>
        </w:rPr>
        <w:br/>
      </w:r>
      <w:r>
        <w:rPr>
          <w:sz w:val="28"/>
        </w:rPr>
        <w:t>города Ростова-на-Дону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И.А. </w:t>
      </w:r>
      <w:r>
        <w:rPr>
          <w:sz w:val="28"/>
        </w:rPr>
        <w:t>Семенюк</w:t>
      </w:r>
    </w:p>
    <w:sectPr>
      <w:headerReference r:id="rId1" w:type="default"/>
      <w:pgSz w:h="16838" w:orient="portrait" w:w="11906"/>
      <w:pgMar w:bottom="1276" w:footer="709" w:gutter="0" w:header="709" w:left="1701" w:right="567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76" w:lineRule="auto"/>
        <w:ind w:firstLine="709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line="240" w:lineRule="auto"/>
      <w:ind w:firstLine="0"/>
      <w:jc w:val="left"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Основной текст (10)"/>
    <w:basedOn w:val="Style_6"/>
    <w:link w:val="Style_5_ch"/>
    <w:rPr>
      <w:rFonts w:ascii="Times New Roman" w:hAnsi="Times New Roman"/>
      <w:b w:val="0"/>
      <w:i w:val="0"/>
      <w:smallCaps w:val="0"/>
      <w:strike w:val="0"/>
      <w:sz w:val="24"/>
    </w:rPr>
  </w:style>
  <w:style w:styleId="Style_5_ch" w:type="character">
    <w:name w:val="Основной текст (10)"/>
    <w:basedOn w:val="Style_6_ch"/>
    <w:link w:val="Style_5"/>
    <w:rPr>
      <w:rFonts w:ascii="Times New Roman" w:hAnsi="Times New Roman"/>
      <w:b w:val="0"/>
      <w:i w:val="0"/>
      <w:smallCaps w:val="0"/>
      <w:strike w:val="0"/>
      <w:sz w:val="24"/>
    </w:rPr>
  </w:style>
  <w:style w:styleId="Style_7" w:type="paragraph">
    <w:name w:val="toc 2"/>
    <w:next w:val="Style_4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List Paragraph"/>
    <w:basedOn w:val="Style_4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4_ch"/>
    <w:link w:val="Style_13"/>
  </w:style>
  <w:style w:styleId="Style_14" w:type="paragraph">
    <w:name w:val="Balloon Text"/>
    <w:basedOn w:val="Style_4"/>
    <w:link w:val="Style_14_ch"/>
    <w:rPr>
      <w:rFonts w:ascii="Tahoma" w:hAnsi="Tahoma"/>
      <w:sz w:val="16"/>
    </w:rPr>
  </w:style>
  <w:style w:styleId="Style_14_ch" w:type="character">
    <w:name w:val="Balloon Text"/>
    <w:basedOn w:val="Style_4_ch"/>
    <w:link w:val="Style_14"/>
    <w:rPr>
      <w:rFonts w:ascii="Tahoma" w:hAnsi="Tahoma"/>
      <w:sz w:val="16"/>
    </w:rPr>
  </w:style>
  <w:style w:styleId="Style_15" w:type="paragraph">
    <w:name w:val="Основной текст (13)"/>
    <w:basedOn w:val="Style_6"/>
    <w:link w:val="Style_15_ch"/>
    <w:rPr>
      <w:rFonts w:ascii="Times New Roman" w:hAnsi="Times New Roman"/>
      <w:b w:val="0"/>
      <w:i w:val="0"/>
      <w:smallCaps w:val="0"/>
      <w:strike w:val="0"/>
      <w:sz w:val="24"/>
    </w:rPr>
  </w:style>
  <w:style w:styleId="Style_15_ch" w:type="character">
    <w:name w:val="Основной текст (13)"/>
    <w:basedOn w:val="Style_6_ch"/>
    <w:link w:val="Style_15"/>
    <w:rPr>
      <w:rFonts w:ascii="Times New Roman" w:hAnsi="Times New Roman"/>
      <w:b w:val="0"/>
      <w:i w:val="0"/>
      <w:smallCaps w:val="0"/>
      <w:strike w:val="0"/>
      <w:sz w:val="24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Основной текст (2) + 8;5 pt"/>
    <w:basedOn w:val="Style_6"/>
    <w:link w:val="Style_22_ch"/>
    <w:rPr>
      <w:rFonts w:ascii="Times New Roman" w:hAnsi="Times New Roman"/>
      <w:b w:val="0"/>
      <w:i w:val="0"/>
      <w:smallCaps w:val="0"/>
      <w:strike w:val="0"/>
      <w:color w:val="000000"/>
      <w:spacing w:val="0"/>
      <w:sz w:val="17"/>
      <w:highlight w:val="white"/>
      <w:u w:val="none"/>
    </w:rPr>
  </w:style>
  <w:style w:styleId="Style_22_ch" w:type="character">
    <w:name w:val="Основной текст (2) + 8;5 pt"/>
    <w:basedOn w:val="Style_6_ch"/>
    <w:link w:val="Style_22"/>
    <w:rPr>
      <w:rFonts w:ascii="Times New Roman" w:hAnsi="Times New Roman"/>
      <w:b w:val="0"/>
      <w:i w:val="0"/>
      <w:smallCaps w:val="0"/>
      <w:strike w:val="0"/>
      <w:color w:val="000000"/>
      <w:spacing w:val="0"/>
      <w:sz w:val="17"/>
      <w:highlight w:val="white"/>
      <w:u w:val="none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25" w:type="paragraph">
    <w:name w:val="footer"/>
    <w:basedOn w:val="Style_4"/>
    <w:link w:val="Style_25_ch"/>
    <w:pPr>
      <w:widowControl w:val="1"/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4_ch"/>
    <w:link w:val="Style_25"/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сновной текст2"/>
    <w:basedOn w:val="Style_4"/>
    <w:link w:val="Style_27_ch"/>
    <w:pPr>
      <w:widowControl w:val="1"/>
      <w:spacing w:before="240" w:line="300" w:lineRule="exact"/>
      <w:ind w:firstLine="680"/>
      <w:jc w:val="both"/>
    </w:pPr>
    <w:rPr>
      <w:rFonts w:asciiTheme="minorAscii" w:hAnsiTheme="minorHAnsi"/>
      <w:sz w:val="26"/>
    </w:rPr>
  </w:style>
  <w:style w:styleId="Style_27_ch" w:type="character">
    <w:name w:val="Основной текст2"/>
    <w:basedOn w:val="Style_4_ch"/>
    <w:link w:val="Style_27"/>
    <w:rPr>
      <w:rFonts w:asciiTheme="minorAscii" w:hAnsiTheme="minorHAnsi"/>
      <w:sz w:val="26"/>
    </w:rPr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No Spacing"/>
    <w:link w:val="Style_29_ch"/>
    <w:pPr>
      <w:widowControl w:val="1"/>
      <w:spacing w:line="240" w:lineRule="auto"/>
      <w:ind w:firstLine="0"/>
      <w:jc w:val="left"/>
    </w:pPr>
    <w:rPr>
      <w:rFonts w:ascii="Calibri" w:hAnsi="Calibri"/>
    </w:rPr>
  </w:style>
  <w:style w:styleId="Style_29_ch" w:type="character">
    <w:name w:val="No Spacing"/>
    <w:link w:val="Style_29"/>
    <w:rPr>
      <w:rFonts w:ascii="Calibri" w:hAnsi="Calibri"/>
    </w:rPr>
  </w:style>
  <w:style w:styleId="Style_3" w:type="paragraph">
    <w:name w:val="ConsPlusNormal"/>
    <w:link w:val="Style_3_ch"/>
    <w:pPr>
      <w:widowControl w:val="0"/>
      <w:spacing w:line="240" w:lineRule="auto"/>
      <w:ind w:firstLine="720"/>
      <w:jc w:val="left"/>
    </w:pPr>
    <w:rPr>
      <w:rFonts w:ascii="Times New Roman" w:hAnsi="Times New Roman"/>
      <w:sz w:val="24"/>
    </w:rPr>
  </w:style>
  <w:style w:styleId="Style_3_ch" w:type="character">
    <w:name w:val="ConsPlusNormal"/>
    <w:link w:val="Style_3"/>
    <w:rPr>
      <w:rFonts w:ascii="Times New Roman" w:hAnsi="Times New Roman"/>
      <w:sz w:val="24"/>
    </w:rPr>
  </w:style>
  <w:style w:styleId="Style_30" w:type="paragraph">
    <w:name w:val="Subtitle"/>
    <w:next w:val="Style_4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4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4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4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MyOffice-CoreFramework-Android/38-1384.1107.10145.1019.1@c2410d8ee4f0a04d0891967678df67bf0b929a69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2025-09-09T11:48:00Z</dcterms:created>
  <dcterms:modified xsi:type="dcterms:W3CDTF">2025-09-09T11:50:00Z</dcterms:modified>
</cp:coreProperties>
</file>